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6E6" w:rsidRDefault="00635CA8">
      <w:pPr>
        <w:spacing w:beforeLines="50" w:before="217" w:afterLines="50" w:after="217" w:line="400" w:lineRule="exact"/>
        <w:jc w:val="center"/>
        <w:rPr>
          <w:rFonts w:eastAsia="方正小标宋简体" w:cs="Times New Roman"/>
          <w:bCs/>
          <w:sz w:val="36"/>
          <w:szCs w:val="21"/>
        </w:rPr>
      </w:pPr>
      <w:bookmarkStart w:id="0" w:name="_GoBack"/>
      <w:bookmarkEnd w:id="0"/>
      <w:r>
        <w:rPr>
          <w:rFonts w:eastAsia="方正小标宋简体" w:cs="Times New Roman"/>
          <w:bCs/>
          <w:sz w:val="36"/>
          <w:szCs w:val="21"/>
        </w:rPr>
        <w:t>202</w:t>
      </w:r>
      <w:r>
        <w:rPr>
          <w:rFonts w:eastAsia="方正小标宋简体" w:cs="Times New Roman" w:hint="eastAsia"/>
          <w:bCs/>
          <w:sz w:val="36"/>
          <w:szCs w:val="21"/>
        </w:rPr>
        <w:t>4</w:t>
      </w:r>
      <w:r>
        <w:rPr>
          <w:rFonts w:eastAsia="方正小标宋简体" w:cs="Times New Roman"/>
          <w:bCs/>
          <w:sz w:val="36"/>
          <w:szCs w:val="21"/>
        </w:rPr>
        <w:t>年度</w:t>
      </w:r>
      <w:r>
        <w:rPr>
          <w:rFonts w:eastAsia="方正小标宋简体" w:cs="Times New Roman" w:hint="eastAsia"/>
          <w:bCs/>
          <w:sz w:val="36"/>
          <w:szCs w:val="21"/>
        </w:rPr>
        <w:t>长江</w:t>
      </w:r>
      <w:r>
        <w:rPr>
          <w:rFonts w:eastAsia="方正小标宋简体" w:cs="Times New Roman"/>
          <w:bCs/>
          <w:sz w:val="36"/>
          <w:szCs w:val="21"/>
        </w:rPr>
        <w:t>科学技术奖提名公示信息</w:t>
      </w:r>
    </w:p>
    <w:tbl>
      <w:tblPr>
        <w:tblStyle w:val="a8"/>
        <w:tblW w:w="1460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1134"/>
        <w:gridCol w:w="2425"/>
        <w:gridCol w:w="712"/>
        <w:gridCol w:w="1850"/>
        <w:gridCol w:w="963"/>
        <w:gridCol w:w="1635"/>
        <w:gridCol w:w="776"/>
        <w:gridCol w:w="1051"/>
        <w:gridCol w:w="2525"/>
        <w:gridCol w:w="1048"/>
      </w:tblGrid>
      <w:tr w:rsidR="009C66E6">
        <w:trPr>
          <w:trHeight w:val="476"/>
          <w:jc w:val="center"/>
        </w:trPr>
        <w:tc>
          <w:tcPr>
            <w:tcW w:w="1624" w:type="dxa"/>
            <w:gridSpan w:val="2"/>
            <w:vAlign w:val="center"/>
          </w:tcPr>
          <w:p w:rsidR="009C66E6" w:rsidRDefault="00635CA8">
            <w:pPr>
              <w:spacing w:line="360" w:lineRule="exact"/>
              <w:jc w:val="center"/>
              <w:rPr>
                <w:rFonts w:eastAsia="黑体" w:cs="Times New Roman"/>
                <w:sz w:val="22"/>
              </w:rPr>
            </w:pPr>
            <w:r>
              <w:rPr>
                <w:rFonts w:eastAsia="黑体" w:cs="Times New Roman" w:hint="eastAsia"/>
                <w:sz w:val="22"/>
              </w:rPr>
              <w:t>成果</w:t>
            </w:r>
            <w:r>
              <w:rPr>
                <w:rFonts w:eastAsia="黑体" w:cs="Times New Roman"/>
                <w:sz w:val="22"/>
              </w:rPr>
              <w:t>名称</w:t>
            </w:r>
          </w:p>
        </w:tc>
        <w:tc>
          <w:tcPr>
            <w:tcW w:w="12985" w:type="dxa"/>
            <w:gridSpan w:val="9"/>
            <w:vAlign w:val="center"/>
          </w:tcPr>
          <w:p w:rsidR="009C66E6" w:rsidRDefault="00635CA8">
            <w:pPr>
              <w:spacing w:line="240" w:lineRule="auto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复杂</w:t>
            </w:r>
            <w:proofErr w:type="gramStart"/>
            <w:r>
              <w:rPr>
                <w:rFonts w:hint="eastAsia"/>
                <w:sz w:val="24"/>
                <w:szCs w:val="24"/>
              </w:rPr>
              <w:t>引调水工程综合</w:t>
            </w:r>
            <w:proofErr w:type="gramEnd"/>
            <w:r>
              <w:rPr>
                <w:rFonts w:hint="eastAsia"/>
                <w:sz w:val="24"/>
                <w:szCs w:val="24"/>
              </w:rPr>
              <w:t>效益评估与系统风险管</w:t>
            </w:r>
            <w:proofErr w:type="gramStart"/>
            <w:r>
              <w:rPr>
                <w:rFonts w:hint="eastAsia"/>
                <w:sz w:val="24"/>
                <w:szCs w:val="24"/>
              </w:rPr>
              <w:t>控关键</w:t>
            </w:r>
            <w:proofErr w:type="gramEnd"/>
            <w:r>
              <w:rPr>
                <w:rFonts w:hint="eastAsia"/>
                <w:sz w:val="24"/>
                <w:szCs w:val="24"/>
              </w:rPr>
              <w:t>技术研究与应用</w:t>
            </w:r>
          </w:p>
        </w:tc>
      </w:tr>
      <w:tr w:rsidR="009C66E6">
        <w:trPr>
          <w:trHeight w:val="476"/>
          <w:jc w:val="center"/>
        </w:trPr>
        <w:tc>
          <w:tcPr>
            <w:tcW w:w="1624" w:type="dxa"/>
            <w:gridSpan w:val="2"/>
            <w:vAlign w:val="center"/>
          </w:tcPr>
          <w:p w:rsidR="009C66E6" w:rsidRDefault="00635CA8">
            <w:pPr>
              <w:spacing w:line="360" w:lineRule="exact"/>
              <w:jc w:val="center"/>
              <w:rPr>
                <w:rFonts w:eastAsia="黑体" w:cs="Times New Roman"/>
                <w:sz w:val="22"/>
              </w:rPr>
            </w:pPr>
            <w:r>
              <w:rPr>
                <w:rFonts w:eastAsia="黑体" w:cs="Times New Roman"/>
                <w:sz w:val="22"/>
              </w:rPr>
              <w:t>提名单位</w:t>
            </w:r>
          </w:p>
        </w:tc>
        <w:tc>
          <w:tcPr>
            <w:tcW w:w="5950" w:type="dxa"/>
            <w:gridSpan w:val="4"/>
            <w:vAlign w:val="center"/>
          </w:tcPr>
          <w:p w:rsidR="009C66E6" w:rsidRDefault="00635CA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长江水利委员会长江科学院</w:t>
            </w:r>
          </w:p>
        </w:tc>
        <w:tc>
          <w:tcPr>
            <w:tcW w:w="2411" w:type="dxa"/>
            <w:gridSpan w:val="2"/>
            <w:vAlign w:val="center"/>
          </w:tcPr>
          <w:p w:rsidR="009C66E6" w:rsidRDefault="00635CA8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黑体" w:cs="Times New Roman"/>
                <w:sz w:val="22"/>
              </w:rPr>
              <w:t>提名等级</w:t>
            </w:r>
          </w:p>
        </w:tc>
        <w:tc>
          <w:tcPr>
            <w:tcW w:w="4624" w:type="dxa"/>
            <w:gridSpan w:val="3"/>
            <w:vAlign w:val="center"/>
          </w:tcPr>
          <w:p w:rsidR="009C66E6" w:rsidRDefault="00635CA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科技进步奖一等奖</w:t>
            </w:r>
          </w:p>
        </w:tc>
      </w:tr>
      <w:tr w:rsidR="009C66E6">
        <w:trPr>
          <w:trHeight w:val="90"/>
          <w:jc w:val="center"/>
        </w:trPr>
        <w:tc>
          <w:tcPr>
            <w:tcW w:w="1624" w:type="dxa"/>
            <w:gridSpan w:val="2"/>
            <w:vAlign w:val="center"/>
          </w:tcPr>
          <w:p w:rsidR="009C66E6" w:rsidRDefault="00635CA8">
            <w:pPr>
              <w:spacing w:line="360" w:lineRule="exact"/>
              <w:jc w:val="center"/>
              <w:rPr>
                <w:rFonts w:eastAsia="黑体" w:cs="Times New Roman"/>
                <w:sz w:val="22"/>
              </w:rPr>
            </w:pPr>
            <w:r>
              <w:rPr>
                <w:rFonts w:eastAsia="黑体" w:cs="Times New Roman"/>
                <w:sz w:val="22"/>
              </w:rPr>
              <w:t>主要完成人</w:t>
            </w:r>
          </w:p>
        </w:tc>
        <w:tc>
          <w:tcPr>
            <w:tcW w:w="12985" w:type="dxa"/>
            <w:gridSpan w:val="9"/>
          </w:tcPr>
          <w:p w:rsidR="009C66E6" w:rsidRDefault="00635CA8">
            <w:pPr>
              <w:tabs>
                <w:tab w:val="left" w:pos="0"/>
              </w:tabs>
              <w:spacing w:line="240" w:lineRule="auto"/>
              <w:ind w:leftChars="50" w:left="160" w:rightChars="50" w:right="160"/>
              <w:jc w:val="both"/>
              <w:rPr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许继军、耿雷华、程卫帅、龙岩、王辉、付建军、尚毅梓、曾子悦、杜卫兵、黄昌硕、蒋蓉、王超、王思如、宋志红、宋雅静</w:t>
            </w:r>
          </w:p>
        </w:tc>
      </w:tr>
      <w:tr w:rsidR="009C66E6">
        <w:trPr>
          <w:trHeight w:val="476"/>
          <w:jc w:val="center"/>
        </w:trPr>
        <w:tc>
          <w:tcPr>
            <w:tcW w:w="1624" w:type="dxa"/>
            <w:gridSpan w:val="2"/>
            <w:vAlign w:val="center"/>
          </w:tcPr>
          <w:p w:rsidR="009C66E6" w:rsidRDefault="00635CA8">
            <w:pPr>
              <w:spacing w:line="360" w:lineRule="exact"/>
              <w:jc w:val="center"/>
              <w:rPr>
                <w:rFonts w:eastAsia="黑体" w:cs="Times New Roman"/>
                <w:sz w:val="22"/>
              </w:rPr>
            </w:pPr>
            <w:r>
              <w:rPr>
                <w:rFonts w:eastAsia="黑体" w:cs="Times New Roman"/>
                <w:sz w:val="22"/>
              </w:rPr>
              <w:t>主要完成单位</w:t>
            </w:r>
          </w:p>
        </w:tc>
        <w:tc>
          <w:tcPr>
            <w:tcW w:w="12985" w:type="dxa"/>
            <w:gridSpan w:val="9"/>
          </w:tcPr>
          <w:p w:rsidR="009C66E6" w:rsidRDefault="00635CA8">
            <w:pPr>
              <w:tabs>
                <w:tab w:val="left" w:pos="0"/>
              </w:tabs>
              <w:spacing w:line="240" w:lineRule="auto"/>
              <w:ind w:leftChars="50" w:left="160" w:rightChars="50" w:right="16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长江水利委员会长江科学院、</w:t>
            </w:r>
            <w:r>
              <w:rPr>
                <w:rFonts w:cs="Times New Roman" w:hint="eastAsia"/>
                <w:sz w:val="24"/>
                <w:szCs w:val="24"/>
              </w:rPr>
              <w:t>水利部交通运输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部国家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能源局南京水利科学研究院</w:t>
            </w:r>
            <w:r>
              <w:rPr>
                <w:rFonts w:cs="Times New Roman"/>
                <w:sz w:val="24"/>
                <w:szCs w:val="24"/>
              </w:rPr>
              <w:t>、</w:t>
            </w:r>
            <w:r>
              <w:rPr>
                <w:rFonts w:cs="Times New Roman" w:hint="eastAsia"/>
                <w:sz w:val="24"/>
                <w:szCs w:val="24"/>
              </w:rPr>
              <w:t>河南省引江济淮工程有限公司、南水北调中线水源有限责任公司、中国水利水电科学研究院</w:t>
            </w:r>
            <w:r>
              <w:rPr>
                <w:rFonts w:cs="Times New Roman"/>
                <w:sz w:val="24"/>
                <w:szCs w:val="24"/>
              </w:rPr>
              <w:t>、</w:t>
            </w:r>
            <w:r>
              <w:rPr>
                <w:rFonts w:cs="Times New Roman" w:hint="eastAsia"/>
                <w:sz w:val="24"/>
                <w:szCs w:val="24"/>
              </w:rPr>
              <w:t>河北工程大学</w:t>
            </w:r>
          </w:p>
        </w:tc>
      </w:tr>
      <w:tr w:rsidR="009C66E6">
        <w:trPr>
          <w:trHeight w:val="2649"/>
          <w:jc w:val="center"/>
        </w:trPr>
        <w:tc>
          <w:tcPr>
            <w:tcW w:w="1624" w:type="dxa"/>
            <w:gridSpan w:val="2"/>
            <w:vAlign w:val="center"/>
          </w:tcPr>
          <w:p w:rsidR="009C66E6" w:rsidRDefault="00635CA8">
            <w:pPr>
              <w:spacing w:line="360" w:lineRule="exact"/>
              <w:jc w:val="center"/>
              <w:rPr>
                <w:rFonts w:eastAsia="黑体" w:cs="Times New Roman"/>
                <w:sz w:val="22"/>
              </w:rPr>
            </w:pPr>
            <w:r>
              <w:rPr>
                <w:rFonts w:eastAsia="黑体" w:cs="Times New Roman" w:hint="eastAsia"/>
                <w:sz w:val="22"/>
              </w:rPr>
              <w:t>成果创新点</w:t>
            </w:r>
          </w:p>
        </w:tc>
        <w:tc>
          <w:tcPr>
            <w:tcW w:w="12985" w:type="dxa"/>
            <w:gridSpan w:val="9"/>
            <w:vAlign w:val="center"/>
          </w:tcPr>
          <w:p w:rsidR="009C66E6" w:rsidRDefault="00635CA8">
            <w:pPr>
              <w:spacing w:line="400" w:lineRule="exact"/>
              <w:ind w:leftChars="50" w:left="160" w:rightChars="50" w:right="160" w:firstLineChars="200" w:firstLine="48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（</w:t>
            </w: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）创建了大型复杂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引调水工程综合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效益多维度评价指标体系与多要素量化评估方法。该技术首次实现对南水北调中线工程受水区生态效益的货币化计量。</w:t>
            </w:r>
          </w:p>
          <w:p w:rsidR="009C66E6" w:rsidRDefault="00635CA8">
            <w:pPr>
              <w:spacing w:line="400" w:lineRule="exact"/>
              <w:ind w:leftChars="50" w:left="160" w:rightChars="50" w:right="160" w:firstLineChars="200" w:firstLine="48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（</w:t>
            </w: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）创新提出了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复杂引调水工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程建管运维全生命周期系统风险全链条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集成管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控技术。该技术突破了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引调水工程系统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复杂性、风险关联性和动态性的解析模拟难题，有效提升了风险评价与管控的准确性和针对性。</w:t>
            </w:r>
          </w:p>
          <w:p w:rsidR="009C66E6" w:rsidRDefault="00635CA8">
            <w:pPr>
              <w:spacing w:line="400" w:lineRule="exact"/>
              <w:ind w:leftChars="50" w:left="160" w:rightChars="50" w:right="160" w:firstLineChars="200" w:firstLine="48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（</w:t>
            </w:r>
            <w:r>
              <w:rPr>
                <w:rFonts w:cs="Times New Roman" w:hint="eastAsia"/>
                <w:sz w:val="24"/>
                <w:szCs w:val="24"/>
              </w:rPr>
              <w:t>3</w:t>
            </w:r>
            <w:r>
              <w:rPr>
                <w:rFonts w:cs="Times New Roman" w:hint="eastAsia"/>
                <w:sz w:val="24"/>
                <w:szCs w:val="24"/>
              </w:rPr>
              <w:t>）创新提出了基于风险</w:t>
            </w:r>
            <w:r>
              <w:rPr>
                <w:rFonts w:cs="Times New Roman" w:hint="eastAsia"/>
                <w:sz w:val="24"/>
                <w:szCs w:val="24"/>
              </w:rPr>
              <w:t>-</w:t>
            </w:r>
            <w:r>
              <w:rPr>
                <w:rFonts w:cs="Times New Roman" w:hint="eastAsia"/>
                <w:sz w:val="24"/>
                <w:szCs w:val="24"/>
              </w:rPr>
              <w:t>效益均衡的多尺度、多阶段、多目标的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复杂引调水工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程水量智能调度技术。该技术显著提升了调度效率和精准度，为引江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济淮等引调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水工程的可持续安全运行和高效管理提供了科技支撑。</w:t>
            </w:r>
          </w:p>
        </w:tc>
      </w:tr>
      <w:tr w:rsidR="009C66E6">
        <w:trPr>
          <w:trHeight w:val="476"/>
          <w:jc w:val="center"/>
        </w:trPr>
        <w:tc>
          <w:tcPr>
            <w:tcW w:w="14609" w:type="dxa"/>
            <w:gridSpan w:val="11"/>
            <w:vAlign w:val="center"/>
          </w:tcPr>
          <w:p w:rsidR="009C66E6" w:rsidRDefault="00635CA8">
            <w:pPr>
              <w:spacing w:line="240" w:lineRule="auto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eastAsia="黑体" w:cs="Times New Roman"/>
                <w:sz w:val="22"/>
              </w:rPr>
              <w:t>主要知识产权和标准规范等目录</w:t>
            </w:r>
          </w:p>
        </w:tc>
      </w:tr>
      <w:tr w:rsidR="009C66E6">
        <w:trPr>
          <w:trHeight w:val="476"/>
          <w:jc w:val="center"/>
        </w:trPr>
        <w:tc>
          <w:tcPr>
            <w:tcW w:w="490" w:type="dxa"/>
            <w:vAlign w:val="center"/>
          </w:tcPr>
          <w:p w:rsidR="009C66E6" w:rsidRDefault="00635CA8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序号</w:t>
            </w:r>
          </w:p>
        </w:tc>
        <w:tc>
          <w:tcPr>
            <w:tcW w:w="1134" w:type="dxa"/>
            <w:vAlign w:val="center"/>
          </w:tcPr>
          <w:p w:rsidR="009C66E6" w:rsidRDefault="00635CA8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知识产权</w:t>
            </w:r>
          </w:p>
          <w:p w:rsidR="009C66E6" w:rsidRDefault="00635CA8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（标准）类别</w:t>
            </w:r>
          </w:p>
        </w:tc>
        <w:tc>
          <w:tcPr>
            <w:tcW w:w="2425" w:type="dxa"/>
            <w:vAlign w:val="center"/>
          </w:tcPr>
          <w:p w:rsidR="009C66E6" w:rsidRDefault="00635CA8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知识产权（标准）</w:t>
            </w:r>
          </w:p>
          <w:p w:rsidR="009C66E6" w:rsidRDefault="00635CA8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具体名称</w:t>
            </w:r>
          </w:p>
        </w:tc>
        <w:tc>
          <w:tcPr>
            <w:tcW w:w="712" w:type="dxa"/>
            <w:vAlign w:val="center"/>
          </w:tcPr>
          <w:p w:rsidR="009C66E6" w:rsidRDefault="00635CA8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国家</w:t>
            </w:r>
          </w:p>
          <w:p w:rsidR="009C66E6" w:rsidRDefault="00635CA8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（地区）</w:t>
            </w:r>
          </w:p>
        </w:tc>
        <w:tc>
          <w:tcPr>
            <w:tcW w:w="1850" w:type="dxa"/>
            <w:vAlign w:val="center"/>
          </w:tcPr>
          <w:p w:rsidR="009C66E6" w:rsidRDefault="00635CA8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授权号</w:t>
            </w:r>
          </w:p>
          <w:p w:rsidR="009C66E6" w:rsidRDefault="00635CA8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（标准编号）</w:t>
            </w:r>
          </w:p>
        </w:tc>
        <w:tc>
          <w:tcPr>
            <w:tcW w:w="963" w:type="dxa"/>
            <w:vAlign w:val="center"/>
          </w:tcPr>
          <w:p w:rsidR="009C66E6" w:rsidRDefault="00635CA8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授权（标准发布）日期</w:t>
            </w:r>
          </w:p>
        </w:tc>
        <w:tc>
          <w:tcPr>
            <w:tcW w:w="1635" w:type="dxa"/>
            <w:vAlign w:val="center"/>
          </w:tcPr>
          <w:p w:rsidR="009C66E6" w:rsidRDefault="00635CA8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证书编号（标准批准发布部门）</w:t>
            </w:r>
          </w:p>
        </w:tc>
        <w:tc>
          <w:tcPr>
            <w:tcW w:w="1827" w:type="dxa"/>
            <w:gridSpan w:val="2"/>
            <w:vAlign w:val="center"/>
          </w:tcPr>
          <w:p w:rsidR="009C66E6" w:rsidRDefault="00635CA8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权利人</w:t>
            </w:r>
          </w:p>
          <w:p w:rsidR="009C66E6" w:rsidRDefault="00635CA8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（标准起草单位）</w:t>
            </w:r>
          </w:p>
        </w:tc>
        <w:tc>
          <w:tcPr>
            <w:tcW w:w="2525" w:type="dxa"/>
            <w:vAlign w:val="center"/>
          </w:tcPr>
          <w:p w:rsidR="009C66E6" w:rsidRDefault="00635CA8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发明人</w:t>
            </w:r>
          </w:p>
          <w:p w:rsidR="009C66E6" w:rsidRDefault="00635CA8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（标准起草人）</w:t>
            </w:r>
          </w:p>
        </w:tc>
        <w:tc>
          <w:tcPr>
            <w:tcW w:w="1048" w:type="dxa"/>
            <w:vAlign w:val="center"/>
          </w:tcPr>
          <w:p w:rsidR="009C66E6" w:rsidRDefault="00635CA8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发明专利（标准）有效状态</w:t>
            </w:r>
          </w:p>
        </w:tc>
      </w:tr>
      <w:tr w:rsidR="009C66E6">
        <w:trPr>
          <w:trHeight w:val="501"/>
          <w:jc w:val="center"/>
        </w:trPr>
        <w:tc>
          <w:tcPr>
            <w:tcW w:w="4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论文</w:t>
            </w:r>
          </w:p>
        </w:tc>
        <w:tc>
          <w:tcPr>
            <w:tcW w:w="2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both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新时期南水北调工程战略功能定位与发展思路研究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中国</w:t>
            </w: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both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DOI:10.3969/j.issn.1000-1123.2021.11.022.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2021-06</w:t>
            </w:r>
          </w:p>
        </w:tc>
        <w:tc>
          <w:tcPr>
            <w:tcW w:w="16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中国水利</w:t>
            </w:r>
          </w:p>
        </w:tc>
        <w:tc>
          <w:tcPr>
            <w:tcW w:w="1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both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长江水利委员会长江科学院</w:t>
            </w: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both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b/>
                <w:bCs/>
                <w:sz w:val="18"/>
                <w:szCs w:val="18"/>
              </w:rPr>
              <w:t>许继军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有效</w:t>
            </w:r>
          </w:p>
        </w:tc>
      </w:tr>
      <w:tr w:rsidR="009C66E6">
        <w:trPr>
          <w:trHeight w:val="90"/>
          <w:jc w:val="center"/>
        </w:trPr>
        <w:tc>
          <w:tcPr>
            <w:tcW w:w="4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论文</w:t>
            </w:r>
          </w:p>
        </w:tc>
        <w:tc>
          <w:tcPr>
            <w:tcW w:w="2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both"/>
              <w:rPr>
                <w:rFonts w:eastAsia="仿宋" w:cs="Times New Roman"/>
                <w:sz w:val="18"/>
                <w:szCs w:val="18"/>
              </w:rPr>
            </w:pPr>
            <w:proofErr w:type="spellStart"/>
            <w:r>
              <w:rPr>
                <w:rFonts w:eastAsia="仿宋" w:cs="Times New Roman"/>
                <w:sz w:val="18"/>
                <w:szCs w:val="18"/>
              </w:rPr>
              <w:t>Nonstationary</w:t>
            </w:r>
            <w:proofErr w:type="spellEnd"/>
            <w:r>
              <w:rPr>
                <w:rFonts w:eastAsia="仿宋" w:cs="Times New Roman"/>
                <w:sz w:val="18"/>
                <w:szCs w:val="18"/>
              </w:rPr>
              <w:t xml:space="preserve"> stochastic simulation method for </w:t>
            </w:r>
            <w:r>
              <w:rPr>
                <w:rFonts w:eastAsia="仿宋" w:cs="Times New Roman" w:hint="eastAsia"/>
                <w:sz w:val="18"/>
                <w:szCs w:val="18"/>
              </w:rPr>
              <w:t xml:space="preserve">the </w:t>
            </w:r>
            <w:r>
              <w:rPr>
                <w:rFonts w:eastAsia="仿宋" w:cs="Times New Roman"/>
                <w:sz w:val="18"/>
                <w:szCs w:val="18"/>
              </w:rPr>
              <w:t>risk assessment of water allocation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中国</w:t>
            </w: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both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DOI</w:t>
            </w:r>
            <w:proofErr w:type="gramStart"/>
            <w:r>
              <w:rPr>
                <w:rFonts w:eastAsia="仿宋" w:cs="Times New Roman" w:hint="eastAsia"/>
                <w:sz w:val="18"/>
                <w:szCs w:val="18"/>
              </w:rPr>
              <w:t>:10.1039</w:t>
            </w:r>
            <w:proofErr w:type="gramEnd"/>
            <w:r>
              <w:rPr>
                <w:rFonts w:eastAsia="仿宋" w:cs="Times New Roman" w:hint="eastAsia"/>
                <w:sz w:val="18"/>
                <w:szCs w:val="18"/>
              </w:rPr>
              <w:t>/D0EW00695E.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2021-</w:t>
            </w:r>
            <w:r>
              <w:rPr>
                <w:rFonts w:eastAsia="仿宋" w:cs="Times New Roman" w:hint="eastAsia"/>
                <w:sz w:val="18"/>
                <w:szCs w:val="18"/>
              </w:rPr>
              <w:t>1</w:t>
            </w:r>
            <w:r>
              <w:rPr>
                <w:rFonts w:eastAsia="仿宋" w:cs="Times New Roman" w:hint="eastAsia"/>
                <w:sz w:val="18"/>
                <w:szCs w:val="18"/>
              </w:rPr>
              <w:t>1</w:t>
            </w:r>
          </w:p>
        </w:tc>
        <w:tc>
          <w:tcPr>
            <w:tcW w:w="16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/>
                <w:sz w:val="18"/>
                <w:szCs w:val="18"/>
              </w:rPr>
              <w:t>Environmental Science: Water Research &amp; Technology</w:t>
            </w:r>
          </w:p>
        </w:tc>
        <w:tc>
          <w:tcPr>
            <w:tcW w:w="1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both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长江水利委员会长江科学院</w:t>
            </w: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both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/>
                <w:sz w:val="18"/>
                <w:szCs w:val="18"/>
              </w:rPr>
              <w:t xml:space="preserve">Chen Shu, </w:t>
            </w:r>
            <w:r>
              <w:rPr>
                <w:rFonts w:eastAsia="仿宋" w:cs="Times New Roman"/>
                <w:b/>
                <w:bCs/>
                <w:sz w:val="18"/>
                <w:szCs w:val="18"/>
              </w:rPr>
              <w:t xml:space="preserve">Xu </w:t>
            </w:r>
            <w:proofErr w:type="spellStart"/>
            <w:r>
              <w:rPr>
                <w:rFonts w:eastAsia="仿宋" w:cs="Times New Roman"/>
                <w:b/>
                <w:bCs/>
                <w:sz w:val="18"/>
                <w:szCs w:val="18"/>
              </w:rPr>
              <w:t>Jijun</w:t>
            </w:r>
            <w:proofErr w:type="spellEnd"/>
            <w:r>
              <w:rPr>
                <w:rFonts w:eastAsia="仿宋" w:cs="Times New Roman"/>
                <w:sz w:val="18"/>
                <w:szCs w:val="18"/>
              </w:rPr>
              <w:t xml:space="preserve">, Li </w:t>
            </w:r>
            <w:proofErr w:type="spellStart"/>
            <w:r>
              <w:rPr>
                <w:rFonts w:eastAsia="仿宋" w:cs="Times New Roman"/>
                <w:sz w:val="18"/>
                <w:szCs w:val="18"/>
              </w:rPr>
              <w:t>Qingqing</w:t>
            </w:r>
            <w:proofErr w:type="spellEnd"/>
            <w:r>
              <w:rPr>
                <w:rFonts w:eastAsia="仿宋" w:cs="Times New Roman"/>
                <w:sz w:val="18"/>
                <w:szCs w:val="18"/>
              </w:rPr>
              <w:t xml:space="preserve">, Wang </w:t>
            </w:r>
            <w:proofErr w:type="spellStart"/>
            <w:r>
              <w:rPr>
                <w:rFonts w:eastAsia="仿宋" w:cs="Times New Roman"/>
                <w:sz w:val="18"/>
                <w:szCs w:val="18"/>
              </w:rPr>
              <w:t>Yongqiang</w:t>
            </w:r>
            <w:r>
              <w:rPr>
                <w:rFonts w:eastAsia="仿宋" w:cs="Times New Roman" w:hint="eastAsia"/>
                <w:sz w:val="18"/>
                <w:szCs w:val="18"/>
              </w:rPr>
              <w:t>,Yuan</w:t>
            </w:r>
            <w:proofErr w:type="spellEnd"/>
            <w:r>
              <w:rPr>
                <w:rFonts w:eastAsia="仿宋" w:cs="Times New Roman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仿宋" w:cs="Times New Roman" w:hint="eastAsia"/>
                <w:sz w:val="18"/>
                <w:szCs w:val="18"/>
              </w:rPr>
              <w:t>Zhe,Wang</w:t>
            </w:r>
            <w:proofErr w:type="spellEnd"/>
            <w:r>
              <w:rPr>
                <w:rFonts w:eastAsia="仿宋" w:cs="Times New Roman" w:hint="eastAsia"/>
                <w:sz w:val="18"/>
                <w:szCs w:val="18"/>
              </w:rPr>
              <w:t xml:space="preserve"> Dong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有效</w:t>
            </w:r>
          </w:p>
        </w:tc>
      </w:tr>
      <w:tr w:rsidR="009C66E6">
        <w:trPr>
          <w:trHeight w:val="817"/>
          <w:jc w:val="center"/>
        </w:trPr>
        <w:tc>
          <w:tcPr>
            <w:tcW w:w="4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论文</w:t>
            </w:r>
          </w:p>
        </w:tc>
        <w:tc>
          <w:tcPr>
            <w:tcW w:w="2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both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调水工</w:t>
            </w:r>
            <w:proofErr w:type="gramStart"/>
            <w:r>
              <w:rPr>
                <w:rFonts w:eastAsia="仿宋" w:cs="Times New Roman" w:hint="eastAsia"/>
                <w:sz w:val="18"/>
                <w:szCs w:val="18"/>
              </w:rPr>
              <w:t>程系统</w:t>
            </w:r>
            <w:proofErr w:type="gramEnd"/>
            <w:r>
              <w:rPr>
                <w:rFonts w:eastAsia="仿宋" w:cs="Times New Roman" w:hint="eastAsia"/>
                <w:sz w:val="18"/>
                <w:szCs w:val="18"/>
              </w:rPr>
              <w:t>建筑物风险相关系数推求方法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中国</w:t>
            </w: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both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DOI:10.3969/j.issn.1671-8844.2004.01.004.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2004-01</w:t>
            </w:r>
          </w:p>
        </w:tc>
        <w:tc>
          <w:tcPr>
            <w:tcW w:w="16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武汉大学学报（工学版）</w:t>
            </w:r>
          </w:p>
        </w:tc>
        <w:tc>
          <w:tcPr>
            <w:tcW w:w="1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both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长江水利委员会长江科学院</w:t>
            </w: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both"/>
              <w:rPr>
                <w:rFonts w:eastAsia="仿宋" w:cs="Times New Roman"/>
                <w:b/>
                <w:bCs/>
                <w:sz w:val="18"/>
                <w:szCs w:val="18"/>
              </w:rPr>
            </w:pPr>
            <w:r>
              <w:rPr>
                <w:rFonts w:eastAsia="仿宋" w:cs="Times New Roman" w:hint="eastAsia"/>
                <w:b/>
                <w:bCs/>
                <w:sz w:val="18"/>
                <w:szCs w:val="18"/>
              </w:rPr>
              <w:t>程卫帅</w:t>
            </w:r>
            <w:r>
              <w:rPr>
                <w:rFonts w:eastAsia="仿宋" w:cs="Times New Roman" w:hint="eastAsia"/>
                <w:sz w:val="18"/>
                <w:szCs w:val="18"/>
              </w:rPr>
              <w:t>、陈进、柳弢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有效</w:t>
            </w:r>
          </w:p>
        </w:tc>
      </w:tr>
      <w:tr w:rsidR="009C66E6">
        <w:trPr>
          <w:trHeight w:val="501"/>
          <w:jc w:val="center"/>
        </w:trPr>
        <w:tc>
          <w:tcPr>
            <w:tcW w:w="4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lastRenderedPageBreak/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专著</w:t>
            </w:r>
          </w:p>
        </w:tc>
        <w:tc>
          <w:tcPr>
            <w:tcW w:w="2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both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南水北调东中线运行工程风险管理研究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中国</w:t>
            </w: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978-7-5111-0339-0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2010-08</w:t>
            </w:r>
          </w:p>
        </w:tc>
        <w:tc>
          <w:tcPr>
            <w:tcW w:w="16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中国环境科学出版社</w:t>
            </w:r>
          </w:p>
        </w:tc>
        <w:tc>
          <w:tcPr>
            <w:tcW w:w="1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both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水利部交通运输</w:t>
            </w:r>
            <w:proofErr w:type="gramStart"/>
            <w:r>
              <w:rPr>
                <w:rFonts w:eastAsia="仿宋" w:cs="Times New Roman" w:hint="eastAsia"/>
                <w:sz w:val="18"/>
                <w:szCs w:val="18"/>
              </w:rPr>
              <w:t>部国家</w:t>
            </w:r>
            <w:proofErr w:type="gramEnd"/>
            <w:r>
              <w:rPr>
                <w:rFonts w:eastAsia="仿宋" w:cs="Times New Roman" w:hint="eastAsia"/>
                <w:sz w:val="18"/>
                <w:szCs w:val="18"/>
              </w:rPr>
              <w:t>能源局南京水利科学研究院</w:t>
            </w: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both"/>
              <w:rPr>
                <w:rFonts w:eastAsia="仿宋" w:cs="Times New Roman"/>
                <w:b/>
                <w:bCs/>
                <w:sz w:val="18"/>
                <w:szCs w:val="18"/>
              </w:rPr>
            </w:pPr>
            <w:r>
              <w:rPr>
                <w:rFonts w:eastAsia="仿宋" w:cs="Times New Roman" w:hint="eastAsia"/>
                <w:b/>
                <w:bCs/>
                <w:sz w:val="18"/>
                <w:szCs w:val="18"/>
              </w:rPr>
              <w:t>耿雷华</w:t>
            </w:r>
            <w:r>
              <w:rPr>
                <w:rFonts w:eastAsia="仿宋" w:cs="Times New Roman" w:hint="eastAsia"/>
                <w:sz w:val="18"/>
                <w:szCs w:val="18"/>
              </w:rPr>
              <w:t>、姜蓓蕾、刘恒、徐</w:t>
            </w:r>
            <w:r>
              <w:rPr>
                <w:rFonts w:eastAsia="仿宋" w:cs="Times New Roman" w:hint="eastAsia"/>
                <w:sz w:val="18"/>
                <w:szCs w:val="18"/>
              </w:rPr>
              <w:t>澎</w:t>
            </w:r>
            <w:r>
              <w:rPr>
                <w:rFonts w:eastAsia="仿宋" w:cs="Times New Roman" w:hint="eastAsia"/>
                <w:sz w:val="18"/>
                <w:szCs w:val="18"/>
              </w:rPr>
              <w:t>波、胡亚林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有效</w:t>
            </w:r>
          </w:p>
        </w:tc>
      </w:tr>
      <w:tr w:rsidR="009C66E6">
        <w:trPr>
          <w:trHeight w:val="501"/>
          <w:jc w:val="center"/>
        </w:trPr>
        <w:tc>
          <w:tcPr>
            <w:tcW w:w="4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专著</w:t>
            </w:r>
          </w:p>
        </w:tc>
        <w:tc>
          <w:tcPr>
            <w:tcW w:w="2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both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/>
                <w:sz w:val="18"/>
                <w:szCs w:val="18"/>
              </w:rPr>
              <w:t>跨流域调水工程突发水污染事件应急调控决策体系与应用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/>
                <w:sz w:val="18"/>
                <w:szCs w:val="18"/>
              </w:rPr>
              <w:t>中国</w:t>
            </w: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/>
                <w:sz w:val="18"/>
                <w:szCs w:val="18"/>
              </w:rPr>
              <w:t>978-7-5170-8703-8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/>
                <w:sz w:val="18"/>
                <w:szCs w:val="18"/>
              </w:rPr>
              <w:t>2020-07</w:t>
            </w:r>
          </w:p>
        </w:tc>
        <w:tc>
          <w:tcPr>
            <w:tcW w:w="16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/>
                <w:sz w:val="18"/>
                <w:szCs w:val="18"/>
              </w:rPr>
              <w:t>中国水利水电出版社</w:t>
            </w:r>
          </w:p>
        </w:tc>
        <w:tc>
          <w:tcPr>
            <w:tcW w:w="1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both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/>
                <w:sz w:val="18"/>
                <w:szCs w:val="18"/>
              </w:rPr>
              <w:t>河北工程大学</w:t>
            </w: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both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/>
                <w:b/>
                <w:bCs/>
                <w:sz w:val="18"/>
                <w:szCs w:val="18"/>
              </w:rPr>
              <w:t>龙岩</w:t>
            </w:r>
            <w:r>
              <w:rPr>
                <w:rFonts w:eastAsia="仿宋" w:cs="Times New Roman" w:hint="eastAsia"/>
                <w:sz w:val="18"/>
                <w:szCs w:val="18"/>
              </w:rPr>
              <w:t>、</w:t>
            </w:r>
            <w:r>
              <w:rPr>
                <w:rFonts w:eastAsia="仿宋" w:cs="Times New Roman"/>
                <w:sz w:val="18"/>
                <w:szCs w:val="18"/>
              </w:rPr>
              <w:t>雷晓辉</w:t>
            </w:r>
            <w:r>
              <w:rPr>
                <w:rFonts w:eastAsia="仿宋" w:cs="Times New Roman" w:hint="eastAsia"/>
                <w:sz w:val="18"/>
                <w:szCs w:val="18"/>
              </w:rPr>
              <w:t>、</w:t>
            </w:r>
            <w:r>
              <w:rPr>
                <w:rFonts w:eastAsia="仿宋" w:cs="Times New Roman"/>
                <w:sz w:val="18"/>
                <w:szCs w:val="18"/>
              </w:rPr>
              <w:t>马超</w:t>
            </w:r>
            <w:r>
              <w:rPr>
                <w:rFonts w:eastAsia="仿宋" w:cs="Times New Roman" w:hint="eastAsia"/>
                <w:sz w:val="18"/>
                <w:szCs w:val="18"/>
              </w:rPr>
              <w:t>、</w:t>
            </w:r>
            <w:r>
              <w:rPr>
                <w:rFonts w:eastAsia="仿宋" w:cs="Times New Roman"/>
                <w:sz w:val="18"/>
                <w:szCs w:val="18"/>
              </w:rPr>
              <w:t>王浩</w:t>
            </w:r>
            <w:r>
              <w:rPr>
                <w:rFonts w:eastAsia="仿宋" w:cs="Times New Roman" w:hint="eastAsia"/>
                <w:sz w:val="18"/>
                <w:szCs w:val="18"/>
              </w:rPr>
              <w:t>、</w:t>
            </w:r>
            <w:proofErr w:type="gramStart"/>
            <w:r>
              <w:rPr>
                <w:rFonts w:eastAsia="仿宋" w:cs="Times New Roman"/>
                <w:sz w:val="18"/>
                <w:szCs w:val="18"/>
              </w:rPr>
              <w:t>练继建</w:t>
            </w:r>
            <w:proofErr w:type="gramEnd"/>
            <w:r>
              <w:rPr>
                <w:rFonts w:eastAsia="仿宋" w:cs="Times New Roman" w:hint="eastAsia"/>
                <w:sz w:val="18"/>
                <w:szCs w:val="18"/>
              </w:rPr>
              <w:t>等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有效</w:t>
            </w:r>
          </w:p>
        </w:tc>
      </w:tr>
      <w:tr w:rsidR="009C66E6">
        <w:trPr>
          <w:trHeight w:val="501"/>
          <w:jc w:val="center"/>
        </w:trPr>
        <w:tc>
          <w:tcPr>
            <w:tcW w:w="4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管理手册</w:t>
            </w:r>
          </w:p>
        </w:tc>
        <w:tc>
          <w:tcPr>
            <w:tcW w:w="2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both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南水北调中线水源工程水资源调度工作手册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/>
                <w:sz w:val="18"/>
                <w:szCs w:val="18"/>
              </w:rPr>
              <w:t>中国</w:t>
            </w: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/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2018-12</w:t>
            </w:r>
          </w:p>
        </w:tc>
        <w:tc>
          <w:tcPr>
            <w:tcW w:w="16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/>
                <w:sz w:val="18"/>
                <w:szCs w:val="18"/>
              </w:rPr>
              <w:t>南水北调中线水源有限责任公司</w:t>
            </w:r>
          </w:p>
        </w:tc>
        <w:tc>
          <w:tcPr>
            <w:tcW w:w="1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both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长江水利委员会长江科学院、</w:t>
            </w:r>
            <w:r>
              <w:rPr>
                <w:rFonts w:eastAsia="仿宋" w:cs="Times New Roman"/>
                <w:sz w:val="18"/>
                <w:szCs w:val="18"/>
              </w:rPr>
              <w:t>南水北调中线水源有限责任公司</w:t>
            </w: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both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b/>
                <w:bCs/>
                <w:sz w:val="18"/>
                <w:szCs w:val="18"/>
              </w:rPr>
              <w:t>许继军</w:t>
            </w:r>
            <w:r>
              <w:rPr>
                <w:rFonts w:eastAsia="仿宋" w:cs="Times New Roman" w:hint="eastAsia"/>
                <w:sz w:val="18"/>
                <w:szCs w:val="18"/>
              </w:rPr>
              <w:t>、尹正杰、</w:t>
            </w:r>
            <w:r>
              <w:rPr>
                <w:rFonts w:eastAsia="仿宋" w:cs="Times New Roman" w:hint="eastAsia"/>
                <w:sz w:val="18"/>
                <w:szCs w:val="18"/>
              </w:rPr>
              <w:t>李清清、</w:t>
            </w:r>
            <w:r>
              <w:rPr>
                <w:rFonts w:eastAsia="仿宋" w:cs="Times New Roman" w:hint="eastAsia"/>
                <w:b/>
                <w:bCs/>
                <w:sz w:val="18"/>
                <w:szCs w:val="18"/>
              </w:rPr>
              <w:t>宋雅静</w:t>
            </w:r>
            <w:r>
              <w:rPr>
                <w:rFonts w:eastAsia="仿宋" w:cs="Times New Roman" w:hint="eastAsia"/>
                <w:sz w:val="18"/>
                <w:szCs w:val="18"/>
              </w:rPr>
              <w:t>、王冬、吴江、董玲燕、杨春花、王新才、万育生、王立等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/>
                <w:sz w:val="18"/>
                <w:szCs w:val="18"/>
              </w:rPr>
              <w:t>有效</w:t>
            </w:r>
          </w:p>
        </w:tc>
      </w:tr>
      <w:tr w:rsidR="009C66E6">
        <w:trPr>
          <w:trHeight w:val="575"/>
          <w:jc w:val="center"/>
        </w:trPr>
        <w:tc>
          <w:tcPr>
            <w:tcW w:w="4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/>
                <w:sz w:val="18"/>
                <w:szCs w:val="18"/>
              </w:rPr>
              <w:t>发明专利</w:t>
            </w:r>
          </w:p>
        </w:tc>
        <w:tc>
          <w:tcPr>
            <w:tcW w:w="2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both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/>
                <w:sz w:val="18"/>
                <w:szCs w:val="18"/>
              </w:rPr>
              <w:t>考虑跨流域调水影响下的水库分期</w:t>
            </w:r>
            <w:proofErr w:type="gramStart"/>
            <w:r>
              <w:rPr>
                <w:rFonts w:eastAsia="仿宋" w:cs="Times New Roman"/>
                <w:sz w:val="18"/>
                <w:szCs w:val="18"/>
              </w:rPr>
              <w:t>汛</w:t>
            </w:r>
            <w:proofErr w:type="gramEnd"/>
            <w:r>
              <w:rPr>
                <w:rFonts w:eastAsia="仿宋" w:cs="Times New Roman"/>
                <w:sz w:val="18"/>
                <w:szCs w:val="18"/>
              </w:rPr>
              <w:t>限水位优化设计方法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/>
                <w:sz w:val="18"/>
                <w:szCs w:val="18"/>
              </w:rPr>
              <w:t>中国</w:t>
            </w: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/>
                <w:sz w:val="18"/>
                <w:szCs w:val="18"/>
              </w:rPr>
              <w:t>202110390810.2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/>
                <w:sz w:val="18"/>
                <w:szCs w:val="18"/>
              </w:rPr>
              <w:t>2022-05-31</w:t>
            </w:r>
          </w:p>
        </w:tc>
        <w:tc>
          <w:tcPr>
            <w:tcW w:w="16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/>
                <w:sz w:val="18"/>
                <w:szCs w:val="18"/>
              </w:rPr>
              <w:t>5195652</w:t>
            </w:r>
          </w:p>
        </w:tc>
        <w:tc>
          <w:tcPr>
            <w:tcW w:w="1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both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/>
                <w:sz w:val="18"/>
                <w:szCs w:val="18"/>
              </w:rPr>
              <w:t>长江水利委员会长江科学院</w:t>
            </w: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both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/>
                <w:sz w:val="18"/>
                <w:szCs w:val="18"/>
              </w:rPr>
              <w:t>张晓琦、</w:t>
            </w:r>
            <w:r>
              <w:rPr>
                <w:rFonts w:eastAsia="仿宋" w:cs="Times New Roman"/>
                <w:b/>
                <w:bCs/>
                <w:sz w:val="18"/>
                <w:szCs w:val="18"/>
              </w:rPr>
              <w:t>许继军</w:t>
            </w:r>
            <w:r>
              <w:rPr>
                <w:rFonts w:eastAsia="仿宋" w:cs="Times New Roman"/>
                <w:sz w:val="18"/>
                <w:szCs w:val="18"/>
              </w:rPr>
              <w:t>、刘攀、姚立强、许斌、鄢波、孙可可、周涛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/>
                <w:sz w:val="18"/>
                <w:szCs w:val="18"/>
              </w:rPr>
              <w:t>有效</w:t>
            </w:r>
          </w:p>
        </w:tc>
      </w:tr>
      <w:tr w:rsidR="009C66E6">
        <w:trPr>
          <w:trHeight w:val="501"/>
          <w:jc w:val="center"/>
        </w:trPr>
        <w:tc>
          <w:tcPr>
            <w:tcW w:w="4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/>
                <w:sz w:val="18"/>
                <w:szCs w:val="18"/>
              </w:rPr>
              <w:t>发明专利</w:t>
            </w:r>
          </w:p>
        </w:tc>
        <w:tc>
          <w:tcPr>
            <w:tcW w:w="2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both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一种考虑输水间歇的输水系统水量调度方案编制方法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/>
                <w:sz w:val="18"/>
                <w:szCs w:val="18"/>
              </w:rPr>
              <w:t>中国</w:t>
            </w: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202310745222.5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2023-08-18</w:t>
            </w:r>
          </w:p>
        </w:tc>
        <w:tc>
          <w:tcPr>
            <w:tcW w:w="16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/>
                <w:sz w:val="18"/>
                <w:szCs w:val="18"/>
              </w:rPr>
              <w:t>6243052</w:t>
            </w:r>
          </w:p>
        </w:tc>
        <w:tc>
          <w:tcPr>
            <w:tcW w:w="1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both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中国水利水电科学研究院、江苏大学、南水北调东线江苏水源有限责任公司</w:t>
            </w: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both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b/>
                <w:bCs/>
                <w:sz w:val="18"/>
                <w:szCs w:val="18"/>
              </w:rPr>
              <w:t>王超</w:t>
            </w:r>
            <w:r>
              <w:rPr>
                <w:rFonts w:eastAsia="仿宋" w:cs="Times New Roman" w:hint="eastAsia"/>
                <w:sz w:val="18"/>
                <w:szCs w:val="18"/>
              </w:rPr>
              <w:t>、夏浩顺、黄富佳、祁洁、贾璐、陆轶群、吴志峰、陆克一、孙嘉辉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有效</w:t>
            </w:r>
          </w:p>
        </w:tc>
      </w:tr>
      <w:tr w:rsidR="009C66E6">
        <w:trPr>
          <w:trHeight w:val="501"/>
          <w:jc w:val="center"/>
        </w:trPr>
        <w:tc>
          <w:tcPr>
            <w:tcW w:w="4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/>
                <w:sz w:val="18"/>
                <w:szCs w:val="18"/>
              </w:rPr>
              <w:t>标准</w:t>
            </w:r>
            <w:r>
              <w:rPr>
                <w:rFonts w:eastAsia="仿宋" w:cs="Times New Roman" w:hint="eastAsia"/>
                <w:sz w:val="18"/>
                <w:szCs w:val="18"/>
              </w:rPr>
              <w:t>规范</w:t>
            </w:r>
          </w:p>
        </w:tc>
        <w:tc>
          <w:tcPr>
            <w:tcW w:w="2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both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/>
                <w:sz w:val="18"/>
                <w:szCs w:val="18"/>
              </w:rPr>
              <w:t>长江流域横向生态保护补偿技术导则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/>
                <w:sz w:val="18"/>
                <w:szCs w:val="18"/>
              </w:rPr>
              <w:t>中国</w:t>
            </w: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/>
                <w:sz w:val="18"/>
                <w:szCs w:val="18"/>
              </w:rPr>
              <w:t>T/C</w:t>
            </w:r>
            <w:r>
              <w:rPr>
                <w:rFonts w:eastAsia="仿宋" w:cs="Times New Roman" w:hint="eastAsia"/>
                <w:sz w:val="18"/>
                <w:szCs w:val="18"/>
              </w:rPr>
              <w:t>T</w:t>
            </w:r>
            <w:r>
              <w:rPr>
                <w:rFonts w:eastAsia="仿宋" w:cs="Times New Roman"/>
                <w:sz w:val="18"/>
                <w:szCs w:val="18"/>
              </w:rPr>
              <w:t>ESGS02-2023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/>
                <w:sz w:val="18"/>
                <w:szCs w:val="18"/>
              </w:rPr>
              <w:t>2023-11-16</w:t>
            </w:r>
          </w:p>
        </w:tc>
        <w:tc>
          <w:tcPr>
            <w:tcW w:w="16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/>
                <w:sz w:val="18"/>
                <w:szCs w:val="18"/>
              </w:rPr>
              <w:t>长江技术经济学会</w:t>
            </w:r>
          </w:p>
        </w:tc>
        <w:tc>
          <w:tcPr>
            <w:tcW w:w="1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both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/>
                <w:sz w:val="18"/>
                <w:szCs w:val="18"/>
              </w:rPr>
              <w:t>长江水利委员会长江科学院、中国长江三峡集团有限公司</w:t>
            </w:r>
            <w:r>
              <w:rPr>
                <w:rFonts w:eastAsia="仿宋" w:cs="Times New Roman" w:hint="eastAsia"/>
                <w:sz w:val="18"/>
                <w:szCs w:val="18"/>
              </w:rPr>
              <w:t>等</w:t>
            </w: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both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陈进、尹正杰、刘建峰、何山、</w:t>
            </w:r>
            <w:r>
              <w:rPr>
                <w:rFonts w:eastAsia="仿宋" w:cs="Times New Roman" w:hint="eastAsia"/>
                <w:b/>
                <w:bCs/>
                <w:sz w:val="18"/>
                <w:szCs w:val="18"/>
              </w:rPr>
              <w:t>许继军</w:t>
            </w:r>
            <w:r>
              <w:rPr>
                <w:rFonts w:eastAsia="仿宋" w:cs="Times New Roman" w:hint="eastAsia"/>
                <w:sz w:val="18"/>
                <w:szCs w:val="18"/>
              </w:rPr>
              <w:t>、李翀、王小林、郑航、杨春花、庄超、陈述、董玲燕、</w:t>
            </w:r>
            <w:r>
              <w:rPr>
                <w:rFonts w:eastAsia="仿宋" w:cs="Times New Roman" w:hint="eastAsia"/>
                <w:b/>
                <w:bCs/>
                <w:sz w:val="18"/>
                <w:szCs w:val="18"/>
              </w:rPr>
              <w:t>宋雅静</w:t>
            </w:r>
            <w:r>
              <w:rPr>
                <w:rFonts w:eastAsia="仿宋" w:cs="Times New Roman" w:hint="eastAsia"/>
                <w:sz w:val="18"/>
                <w:szCs w:val="18"/>
              </w:rPr>
              <w:t>等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/>
                <w:sz w:val="18"/>
                <w:szCs w:val="18"/>
              </w:rPr>
              <w:t>有效</w:t>
            </w:r>
          </w:p>
        </w:tc>
      </w:tr>
      <w:tr w:rsidR="009C66E6">
        <w:trPr>
          <w:trHeight w:val="501"/>
          <w:jc w:val="center"/>
        </w:trPr>
        <w:tc>
          <w:tcPr>
            <w:tcW w:w="4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/>
                <w:sz w:val="18"/>
                <w:szCs w:val="18"/>
              </w:rPr>
              <w:t>软件著作权</w:t>
            </w:r>
          </w:p>
        </w:tc>
        <w:tc>
          <w:tcPr>
            <w:tcW w:w="2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both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/>
                <w:sz w:val="18"/>
                <w:szCs w:val="18"/>
              </w:rPr>
              <w:t>复杂调水工程</w:t>
            </w:r>
            <w:r>
              <w:rPr>
                <w:rFonts w:eastAsia="仿宋" w:cs="Times New Roman" w:hint="eastAsia"/>
                <w:sz w:val="18"/>
                <w:szCs w:val="18"/>
              </w:rPr>
              <w:t>施工期风险管控</w:t>
            </w:r>
            <w:r>
              <w:rPr>
                <w:rFonts w:eastAsia="仿宋" w:cs="Times New Roman"/>
                <w:sz w:val="18"/>
                <w:szCs w:val="18"/>
              </w:rPr>
              <w:t>系统</w:t>
            </w:r>
            <w:r>
              <w:rPr>
                <w:rFonts w:eastAsia="仿宋" w:cs="Times New Roman" w:hint="eastAsia"/>
                <w:sz w:val="18"/>
                <w:szCs w:val="18"/>
              </w:rPr>
              <w:t>V1.0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/>
                <w:sz w:val="18"/>
                <w:szCs w:val="18"/>
              </w:rPr>
              <w:t>中国</w:t>
            </w: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/>
                <w:sz w:val="18"/>
                <w:szCs w:val="18"/>
              </w:rPr>
              <w:t>2023SR1515</w:t>
            </w:r>
            <w:r>
              <w:rPr>
                <w:rFonts w:eastAsia="仿宋" w:cs="Times New Roman" w:hint="eastAsia"/>
                <w:sz w:val="18"/>
                <w:szCs w:val="18"/>
              </w:rPr>
              <w:t>466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/>
                <w:sz w:val="18"/>
                <w:szCs w:val="18"/>
              </w:rPr>
              <w:t>2023-</w:t>
            </w:r>
            <w:r>
              <w:rPr>
                <w:rFonts w:eastAsia="仿宋" w:cs="Times New Roman" w:hint="eastAsia"/>
                <w:sz w:val="18"/>
                <w:szCs w:val="18"/>
              </w:rPr>
              <w:t>11</w:t>
            </w:r>
            <w:r>
              <w:rPr>
                <w:rFonts w:eastAsia="仿宋" w:cs="Times New Roman"/>
                <w:sz w:val="18"/>
                <w:szCs w:val="18"/>
              </w:rPr>
              <w:t>-</w:t>
            </w:r>
            <w:r>
              <w:rPr>
                <w:rFonts w:eastAsia="仿宋" w:cs="Times New Roman" w:hint="eastAsia"/>
                <w:sz w:val="18"/>
                <w:szCs w:val="18"/>
              </w:rPr>
              <w:t>27</w:t>
            </w:r>
          </w:p>
        </w:tc>
        <w:tc>
          <w:tcPr>
            <w:tcW w:w="16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/>
                <w:sz w:val="18"/>
                <w:szCs w:val="18"/>
              </w:rPr>
              <w:t>121026</w:t>
            </w:r>
            <w:r>
              <w:rPr>
                <w:rFonts w:eastAsia="仿宋" w:cs="Times New Roman" w:hint="eastAsia"/>
                <w:sz w:val="18"/>
                <w:szCs w:val="18"/>
              </w:rPr>
              <w:t>39</w:t>
            </w:r>
          </w:p>
        </w:tc>
        <w:tc>
          <w:tcPr>
            <w:tcW w:w="1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both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/>
                <w:sz w:val="18"/>
                <w:szCs w:val="18"/>
              </w:rPr>
              <w:t>河南省引江济淮工程有限公司</w:t>
            </w:r>
            <w:r>
              <w:rPr>
                <w:rFonts w:eastAsia="仿宋" w:cs="Times New Roman" w:hint="eastAsia"/>
                <w:sz w:val="18"/>
                <w:szCs w:val="18"/>
              </w:rPr>
              <w:t>、</w:t>
            </w:r>
            <w:r>
              <w:rPr>
                <w:rFonts w:eastAsia="仿宋" w:cs="Times New Roman"/>
                <w:sz w:val="18"/>
                <w:szCs w:val="18"/>
              </w:rPr>
              <w:t>长江水利委员会长江科学院</w:t>
            </w: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both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 w:hint="eastAsia"/>
                <w:b/>
                <w:bCs/>
                <w:sz w:val="18"/>
                <w:szCs w:val="18"/>
              </w:rPr>
              <w:t>王辉</w:t>
            </w:r>
            <w:r>
              <w:rPr>
                <w:rFonts w:eastAsia="仿宋" w:cs="Times New Roman" w:hint="eastAsia"/>
                <w:sz w:val="18"/>
                <w:szCs w:val="18"/>
              </w:rPr>
              <w:t>、</w:t>
            </w:r>
            <w:r>
              <w:rPr>
                <w:rFonts w:eastAsia="仿宋" w:cs="Times New Roman" w:hint="eastAsia"/>
                <w:b/>
                <w:bCs/>
                <w:sz w:val="18"/>
                <w:szCs w:val="18"/>
              </w:rPr>
              <w:t>程卫帅</w:t>
            </w:r>
            <w:r>
              <w:rPr>
                <w:rFonts w:eastAsia="仿宋" w:cs="Times New Roman" w:hint="eastAsia"/>
                <w:sz w:val="18"/>
                <w:szCs w:val="18"/>
              </w:rPr>
              <w:t>、魏令伟、</w:t>
            </w:r>
            <w:r>
              <w:rPr>
                <w:rFonts w:eastAsia="仿宋" w:cs="Times New Roman"/>
                <w:sz w:val="18"/>
                <w:szCs w:val="18"/>
              </w:rPr>
              <w:t>江生金</w:t>
            </w:r>
            <w:r>
              <w:rPr>
                <w:rFonts w:eastAsia="仿宋" w:cs="Times New Roman" w:hint="eastAsia"/>
                <w:sz w:val="18"/>
                <w:szCs w:val="18"/>
              </w:rPr>
              <w:t>、</w:t>
            </w:r>
            <w:r>
              <w:rPr>
                <w:rFonts w:eastAsia="仿宋" w:cs="Times New Roman"/>
                <w:sz w:val="18"/>
                <w:szCs w:val="18"/>
              </w:rPr>
              <w:t>范嘉</w:t>
            </w:r>
            <w:proofErr w:type="gramStart"/>
            <w:r>
              <w:rPr>
                <w:rFonts w:eastAsia="仿宋" w:cs="Times New Roman"/>
                <w:sz w:val="18"/>
                <w:szCs w:val="18"/>
              </w:rPr>
              <w:t>懿</w:t>
            </w:r>
            <w:proofErr w:type="gramEnd"/>
            <w:r>
              <w:rPr>
                <w:rFonts w:eastAsia="仿宋" w:cs="Times New Roman" w:hint="eastAsia"/>
                <w:sz w:val="18"/>
                <w:szCs w:val="18"/>
              </w:rPr>
              <w:t>、</w:t>
            </w:r>
            <w:r>
              <w:rPr>
                <w:rFonts w:eastAsia="仿宋" w:cs="Times New Roman"/>
                <w:sz w:val="18"/>
                <w:szCs w:val="18"/>
              </w:rPr>
              <w:t>何山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6E6" w:rsidRDefault="00635CA8">
            <w:pPr>
              <w:snapToGrid w:val="0"/>
              <w:spacing w:line="240" w:lineRule="auto"/>
              <w:jc w:val="center"/>
              <w:rPr>
                <w:rFonts w:eastAsia="仿宋" w:cs="Times New Roman"/>
                <w:sz w:val="18"/>
                <w:szCs w:val="18"/>
              </w:rPr>
            </w:pPr>
            <w:r>
              <w:rPr>
                <w:rFonts w:eastAsia="仿宋" w:cs="Times New Roman"/>
                <w:sz w:val="18"/>
                <w:szCs w:val="18"/>
              </w:rPr>
              <w:t>有效</w:t>
            </w:r>
          </w:p>
        </w:tc>
      </w:tr>
    </w:tbl>
    <w:p w:rsidR="009C66E6" w:rsidRDefault="009C66E6">
      <w:pPr>
        <w:spacing w:line="20" w:lineRule="exact"/>
        <w:rPr>
          <w:rFonts w:cs="Times New Roman"/>
          <w:sz w:val="21"/>
          <w:szCs w:val="21"/>
        </w:rPr>
      </w:pPr>
    </w:p>
    <w:sectPr w:rsidR="009C66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57" w:footer="5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CA8" w:rsidRDefault="00635CA8">
      <w:pPr>
        <w:spacing w:line="240" w:lineRule="auto"/>
      </w:pPr>
      <w:r>
        <w:separator/>
      </w:r>
    </w:p>
  </w:endnote>
  <w:endnote w:type="continuationSeparator" w:id="0">
    <w:p w:rsidR="00635CA8" w:rsidRDefault="00635C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B63BE08E-7B32-424E-AA25-DA8364FD499E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2" w:subsetted="1" w:fontKey="{24E0469F-7BB6-4336-AAD6-A287A3C6235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BD7DAC1-B61B-4B32-A74B-DB59E502C1F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FD7D1C79-CCF4-49F9-B607-7F79D4BC013E}"/>
    <w:embedBold r:id="rId5" w:subsetted="1" w:fontKey="{0DCBE22A-9860-45E3-BB1F-A062E38EA453}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6E6" w:rsidRDefault="009C66E6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6E6" w:rsidRDefault="009C66E6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6E6" w:rsidRDefault="009C66E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CA8" w:rsidRDefault="00635CA8">
      <w:pPr>
        <w:spacing w:line="240" w:lineRule="auto"/>
      </w:pPr>
      <w:r>
        <w:separator/>
      </w:r>
    </w:p>
  </w:footnote>
  <w:footnote w:type="continuationSeparator" w:id="0">
    <w:p w:rsidR="00635CA8" w:rsidRDefault="00635C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6E6" w:rsidRDefault="009C66E6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6E6" w:rsidRDefault="009C66E6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6E6" w:rsidRDefault="009C66E6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420"/>
  <w:drawingGridHorizontalSpacing w:val="160"/>
  <w:drawingGridVerticalSpacing w:val="43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xY2MzNDQxMWE3M2FiMTViMDQwY2Q4ZTMzOGEwMzkifQ=="/>
  </w:docVars>
  <w:rsids>
    <w:rsidRoot w:val="00CC1191"/>
    <w:rsid w:val="0000064E"/>
    <w:rsid w:val="00031ED3"/>
    <w:rsid w:val="00036C62"/>
    <w:rsid w:val="00066D18"/>
    <w:rsid w:val="00067F3B"/>
    <w:rsid w:val="0007379D"/>
    <w:rsid w:val="000A5354"/>
    <w:rsid w:val="000B4FA4"/>
    <w:rsid w:val="000C6B4C"/>
    <w:rsid w:val="000C7F6B"/>
    <w:rsid w:val="000D1792"/>
    <w:rsid w:val="000D50F3"/>
    <w:rsid w:val="000D78AB"/>
    <w:rsid w:val="000F7A65"/>
    <w:rsid w:val="0010045F"/>
    <w:rsid w:val="00107A75"/>
    <w:rsid w:val="001140EF"/>
    <w:rsid w:val="00114FCD"/>
    <w:rsid w:val="001156A5"/>
    <w:rsid w:val="0012010D"/>
    <w:rsid w:val="001216A3"/>
    <w:rsid w:val="0012440A"/>
    <w:rsid w:val="00124973"/>
    <w:rsid w:val="001405D1"/>
    <w:rsid w:val="0017059E"/>
    <w:rsid w:val="00175183"/>
    <w:rsid w:val="001A3F86"/>
    <w:rsid w:val="001B472D"/>
    <w:rsid w:val="001C156A"/>
    <w:rsid w:val="001C26C3"/>
    <w:rsid w:val="001F1BC2"/>
    <w:rsid w:val="00201DA0"/>
    <w:rsid w:val="002438A1"/>
    <w:rsid w:val="002559B6"/>
    <w:rsid w:val="00255B68"/>
    <w:rsid w:val="00273C3D"/>
    <w:rsid w:val="0028528A"/>
    <w:rsid w:val="00287332"/>
    <w:rsid w:val="002B1353"/>
    <w:rsid w:val="002F3C22"/>
    <w:rsid w:val="002F6E7A"/>
    <w:rsid w:val="00325FB5"/>
    <w:rsid w:val="00330991"/>
    <w:rsid w:val="0034798B"/>
    <w:rsid w:val="0036526F"/>
    <w:rsid w:val="003949DB"/>
    <w:rsid w:val="0039559F"/>
    <w:rsid w:val="003B6016"/>
    <w:rsid w:val="003C6180"/>
    <w:rsid w:val="00421DF8"/>
    <w:rsid w:val="00450367"/>
    <w:rsid w:val="004707DE"/>
    <w:rsid w:val="00470E5C"/>
    <w:rsid w:val="004A29C5"/>
    <w:rsid w:val="004A3FAB"/>
    <w:rsid w:val="004C2EC9"/>
    <w:rsid w:val="004D1208"/>
    <w:rsid w:val="004D6445"/>
    <w:rsid w:val="004E312D"/>
    <w:rsid w:val="00526178"/>
    <w:rsid w:val="005306E5"/>
    <w:rsid w:val="00530899"/>
    <w:rsid w:val="0056210F"/>
    <w:rsid w:val="00580D39"/>
    <w:rsid w:val="00587D24"/>
    <w:rsid w:val="00594761"/>
    <w:rsid w:val="005A5EB6"/>
    <w:rsid w:val="005B7555"/>
    <w:rsid w:val="005C3883"/>
    <w:rsid w:val="005C6285"/>
    <w:rsid w:val="005F6718"/>
    <w:rsid w:val="006063DD"/>
    <w:rsid w:val="0061150F"/>
    <w:rsid w:val="00612C9E"/>
    <w:rsid w:val="00614FA3"/>
    <w:rsid w:val="00635CA8"/>
    <w:rsid w:val="00646ECD"/>
    <w:rsid w:val="0066262D"/>
    <w:rsid w:val="0066388D"/>
    <w:rsid w:val="00676D2D"/>
    <w:rsid w:val="006C3884"/>
    <w:rsid w:val="00700E40"/>
    <w:rsid w:val="0071623C"/>
    <w:rsid w:val="00721776"/>
    <w:rsid w:val="007321E7"/>
    <w:rsid w:val="007446AC"/>
    <w:rsid w:val="007462CD"/>
    <w:rsid w:val="00757765"/>
    <w:rsid w:val="00767193"/>
    <w:rsid w:val="0078339A"/>
    <w:rsid w:val="0078746B"/>
    <w:rsid w:val="007D06AE"/>
    <w:rsid w:val="007E255B"/>
    <w:rsid w:val="00814934"/>
    <w:rsid w:val="00814B14"/>
    <w:rsid w:val="008150C3"/>
    <w:rsid w:val="00817776"/>
    <w:rsid w:val="0082754A"/>
    <w:rsid w:val="00831811"/>
    <w:rsid w:val="00834A40"/>
    <w:rsid w:val="00896299"/>
    <w:rsid w:val="008D13A0"/>
    <w:rsid w:val="008E4367"/>
    <w:rsid w:val="00932700"/>
    <w:rsid w:val="00953187"/>
    <w:rsid w:val="00955534"/>
    <w:rsid w:val="009801E6"/>
    <w:rsid w:val="0098171A"/>
    <w:rsid w:val="00984C39"/>
    <w:rsid w:val="009B3F0D"/>
    <w:rsid w:val="009C18C1"/>
    <w:rsid w:val="009C66E6"/>
    <w:rsid w:val="009D3FAC"/>
    <w:rsid w:val="009F08CF"/>
    <w:rsid w:val="00A362A4"/>
    <w:rsid w:val="00A5440C"/>
    <w:rsid w:val="00A64BC1"/>
    <w:rsid w:val="00A721D4"/>
    <w:rsid w:val="00A77B86"/>
    <w:rsid w:val="00AA58D3"/>
    <w:rsid w:val="00AA7BB9"/>
    <w:rsid w:val="00AB0DA4"/>
    <w:rsid w:val="00AB1081"/>
    <w:rsid w:val="00B41849"/>
    <w:rsid w:val="00B84FA2"/>
    <w:rsid w:val="00BA1324"/>
    <w:rsid w:val="00BC5DCD"/>
    <w:rsid w:val="00BD1D4A"/>
    <w:rsid w:val="00BF39D0"/>
    <w:rsid w:val="00C36743"/>
    <w:rsid w:val="00C53DD6"/>
    <w:rsid w:val="00C55657"/>
    <w:rsid w:val="00C61F0D"/>
    <w:rsid w:val="00C73532"/>
    <w:rsid w:val="00C834CF"/>
    <w:rsid w:val="00C91CE0"/>
    <w:rsid w:val="00CA661D"/>
    <w:rsid w:val="00CC0017"/>
    <w:rsid w:val="00CC1191"/>
    <w:rsid w:val="00D1337D"/>
    <w:rsid w:val="00D54F98"/>
    <w:rsid w:val="00D563E6"/>
    <w:rsid w:val="00D759BB"/>
    <w:rsid w:val="00DB5344"/>
    <w:rsid w:val="00DC1300"/>
    <w:rsid w:val="00DC3A7E"/>
    <w:rsid w:val="00E02738"/>
    <w:rsid w:val="00E2505D"/>
    <w:rsid w:val="00E271FC"/>
    <w:rsid w:val="00E3525E"/>
    <w:rsid w:val="00E44123"/>
    <w:rsid w:val="00E45415"/>
    <w:rsid w:val="00E90D47"/>
    <w:rsid w:val="00E90F5D"/>
    <w:rsid w:val="00E939F0"/>
    <w:rsid w:val="00EC1B07"/>
    <w:rsid w:val="00EC284D"/>
    <w:rsid w:val="00EC5F6E"/>
    <w:rsid w:val="00F0792C"/>
    <w:rsid w:val="00F97B29"/>
    <w:rsid w:val="00FD186F"/>
    <w:rsid w:val="00FF27B6"/>
    <w:rsid w:val="00FF4667"/>
    <w:rsid w:val="012B0AA8"/>
    <w:rsid w:val="0183728A"/>
    <w:rsid w:val="02497534"/>
    <w:rsid w:val="03021611"/>
    <w:rsid w:val="052C6D8B"/>
    <w:rsid w:val="05852C9D"/>
    <w:rsid w:val="06385FC4"/>
    <w:rsid w:val="080C0E25"/>
    <w:rsid w:val="098553AB"/>
    <w:rsid w:val="0A35554F"/>
    <w:rsid w:val="0A516F86"/>
    <w:rsid w:val="0E280947"/>
    <w:rsid w:val="0ED41A4F"/>
    <w:rsid w:val="0FBF5A2F"/>
    <w:rsid w:val="0FDE0202"/>
    <w:rsid w:val="105A4D85"/>
    <w:rsid w:val="13F91664"/>
    <w:rsid w:val="15AC407C"/>
    <w:rsid w:val="16C23AE4"/>
    <w:rsid w:val="16C9354B"/>
    <w:rsid w:val="178B572B"/>
    <w:rsid w:val="182C52B5"/>
    <w:rsid w:val="19114F77"/>
    <w:rsid w:val="1A6B57F9"/>
    <w:rsid w:val="1B400146"/>
    <w:rsid w:val="1D020666"/>
    <w:rsid w:val="1D536E88"/>
    <w:rsid w:val="1DB27D83"/>
    <w:rsid w:val="1F641A64"/>
    <w:rsid w:val="1F92158C"/>
    <w:rsid w:val="1FC16625"/>
    <w:rsid w:val="1FDFE31F"/>
    <w:rsid w:val="219D494C"/>
    <w:rsid w:val="221423FC"/>
    <w:rsid w:val="2297614E"/>
    <w:rsid w:val="22E55ECD"/>
    <w:rsid w:val="2DE955A4"/>
    <w:rsid w:val="2EE14FE1"/>
    <w:rsid w:val="2EE56DFD"/>
    <w:rsid w:val="326A0EBC"/>
    <w:rsid w:val="379E6032"/>
    <w:rsid w:val="38EA4A6F"/>
    <w:rsid w:val="39E902C9"/>
    <w:rsid w:val="3BE21134"/>
    <w:rsid w:val="3F47212A"/>
    <w:rsid w:val="42582E81"/>
    <w:rsid w:val="43DA313B"/>
    <w:rsid w:val="454B6282"/>
    <w:rsid w:val="47293CD0"/>
    <w:rsid w:val="494644B1"/>
    <w:rsid w:val="495F006C"/>
    <w:rsid w:val="4EB85309"/>
    <w:rsid w:val="502A6491"/>
    <w:rsid w:val="519A2F38"/>
    <w:rsid w:val="51A11B6E"/>
    <w:rsid w:val="53586648"/>
    <w:rsid w:val="53BB45F4"/>
    <w:rsid w:val="53EC109A"/>
    <w:rsid w:val="569D042A"/>
    <w:rsid w:val="57DA74B2"/>
    <w:rsid w:val="585834B3"/>
    <w:rsid w:val="58B92B3F"/>
    <w:rsid w:val="5B1C2A87"/>
    <w:rsid w:val="5B50627E"/>
    <w:rsid w:val="5C864257"/>
    <w:rsid w:val="5CFE0C86"/>
    <w:rsid w:val="5D0D3237"/>
    <w:rsid w:val="5D796D20"/>
    <w:rsid w:val="5EC52588"/>
    <w:rsid w:val="5F4B0263"/>
    <w:rsid w:val="5FA0183B"/>
    <w:rsid w:val="61464BA5"/>
    <w:rsid w:val="61B451D9"/>
    <w:rsid w:val="625E1DEF"/>
    <w:rsid w:val="66696111"/>
    <w:rsid w:val="66AD5F9D"/>
    <w:rsid w:val="6A911014"/>
    <w:rsid w:val="6B850991"/>
    <w:rsid w:val="6BEB6B1D"/>
    <w:rsid w:val="6C8D1AA4"/>
    <w:rsid w:val="6C9E1C2E"/>
    <w:rsid w:val="6CF127D1"/>
    <w:rsid w:val="6D475031"/>
    <w:rsid w:val="6F161187"/>
    <w:rsid w:val="70A511CD"/>
    <w:rsid w:val="727453D2"/>
    <w:rsid w:val="72D37256"/>
    <w:rsid w:val="73262C77"/>
    <w:rsid w:val="77D6332B"/>
    <w:rsid w:val="79312F28"/>
    <w:rsid w:val="79C76CDD"/>
    <w:rsid w:val="79C86655"/>
    <w:rsid w:val="7AF810EA"/>
    <w:rsid w:val="7BDE2E46"/>
    <w:rsid w:val="7CFF0D1F"/>
    <w:rsid w:val="7DD251E5"/>
    <w:rsid w:val="7DD554FF"/>
    <w:rsid w:val="7F20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544F23-9E9F-4C0E-AAEF-AB335CEE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560" w:lineRule="exact"/>
    </w:pPr>
    <w:rPr>
      <w:rFonts w:eastAsia="仿宋_GB2312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ind w:firstLine="641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uiPriority w:val="99"/>
    <w:unhideWhenUsed/>
    <w:qFormat/>
    <w:pPr>
      <w:widowControl w:val="0"/>
      <w:spacing w:line="360" w:lineRule="auto"/>
      <w:ind w:firstLineChars="200" w:firstLine="480"/>
      <w:jc w:val="both"/>
    </w:pPr>
    <w:rPr>
      <w:rFonts w:ascii="仿宋_GB2312" w:eastAsia="宋体" w:cs="Times New Roman" w:hint="eastAsia"/>
      <w:sz w:val="24"/>
      <w:szCs w:val="20"/>
    </w:rPr>
  </w:style>
  <w:style w:type="paragraph" w:styleId="a4">
    <w:name w:val="Balloon Text"/>
    <w:basedOn w:val="a"/>
    <w:link w:val="Char0"/>
    <w:autoRedefine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rPr>
      <w:sz w:val="24"/>
    </w:rPr>
  </w:style>
  <w:style w:type="table" w:styleId="a8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autoRedefine/>
    <w:uiPriority w:val="9"/>
    <w:qFormat/>
    <w:rPr>
      <w:rFonts w:eastAsia="方正小标宋简体"/>
      <w:bCs/>
      <w:kern w:val="44"/>
      <w:sz w:val="44"/>
      <w:szCs w:val="44"/>
    </w:rPr>
  </w:style>
  <w:style w:type="character" w:customStyle="1" w:styleId="Char2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autoRedefine/>
    <w:uiPriority w:val="9"/>
    <w:qFormat/>
    <w:rPr>
      <w:rFonts w:asciiTheme="majorHAnsi" w:eastAsia="黑体" w:hAnsiTheme="majorHAnsi" w:cstheme="majorBidi"/>
      <w:bCs/>
      <w:szCs w:val="32"/>
    </w:rPr>
  </w:style>
  <w:style w:type="character" w:customStyle="1" w:styleId="Char">
    <w:name w:val="纯文本 Char"/>
    <w:basedOn w:val="a0"/>
    <w:link w:val="a3"/>
    <w:autoRedefine/>
    <w:uiPriority w:val="99"/>
    <w:qFormat/>
    <w:rPr>
      <w:rFonts w:ascii="仿宋_GB2312" w:eastAsia="仿宋_GB2312" w:cs="仿宋_GB2312" w:hint="eastAsia"/>
      <w:kern w:val="2"/>
      <w:sz w:val="24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Company>Microsoft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李昕然</dc:creator>
  <cp:lastModifiedBy>顾艳玲</cp:lastModifiedBy>
  <cp:revision>2</cp:revision>
  <cp:lastPrinted>2020-05-20T14:08:00Z</cp:lastPrinted>
  <dcterms:created xsi:type="dcterms:W3CDTF">2024-07-22T08:58:00Z</dcterms:created>
  <dcterms:modified xsi:type="dcterms:W3CDTF">2024-07-22T08:58:00Z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E4429D5829DD4CB685740A194606D9D6</vt:lpwstr>
  </property>
</Properties>
</file>