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689" w:rsidRDefault="00885B66">
      <w:pPr>
        <w:spacing w:beforeLines="50" w:before="156" w:afterLines="50" w:after="156" w:line="400" w:lineRule="exact"/>
        <w:jc w:val="center"/>
        <w:rPr>
          <w:rFonts w:eastAsia="方正小标宋简体"/>
          <w:bCs/>
          <w:szCs w:val="32"/>
        </w:rPr>
      </w:pPr>
      <w:r>
        <w:rPr>
          <w:rFonts w:eastAsia="方正小标宋简体"/>
          <w:bCs/>
          <w:szCs w:val="32"/>
        </w:rPr>
        <w:t>202</w:t>
      </w:r>
      <w:r>
        <w:rPr>
          <w:rFonts w:eastAsia="方正小标宋简体" w:hint="eastAsia"/>
          <w:bCs/>
          <w:szCs w:val="32"/>
        </w:rPr>
        <w:t>4</w:t>
      </w:r>
      <w:r>
        <w:rPr>
          <w:rFonts w:eastAsia="方正小标宋简体"/>
          <w:bCs/>
          <w:szCs w:val="32"/>
        </w:rPr>
        <w:t>年度</w:t>
      </w:r>
      <w:r>
        <w:rPr>
          <w:rFonts w:eastAsia="方正小标宋简体" w:hint="eastAsia"/>
          <w:bCs/>
          <w:szCs w:val="32"/>
        </w:rPr>
        <w:t>广西科技进步奖拟</w:t>
      </w:r>
      <w:r>
        <w:rPr>
          <w:rFonts w:eastAsia="方正小标宋简体"/>
          <w:bCs/>
          <w:szCs w:val="32"/>
        </w:rPr>
        <w:t>提名</w:t>
      </w:r>
      <w:r>
        <w:rPr>
          <w:rFonts w:eastAsia="方正小标宋简体" w:hint="eastAsia"/>
          <w:bCs/>
          <w:szCs w:val="32"/>
        </w:rPr>
        <w:t>项目</w:t>
      </w:r>
      <w:r>
        <w:rPr>
          <w:rFonts w:eastAsia="方正小标宋简体"/>
          <w:bCs/>
          <w:szCs w:val="32"/>
        </w:rPr>
        <w:t>公示信息</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9"/>
        <w:gridCol w:w="932"/>
        <w:gridCol w:w="4907"/>
        <w:gridCol w:w="2181"/>
        <w:gridCol w:w="5592"/>
      </w:tblGrid>
      <w:tr w:rsidR="00673689">
        <w:trPr>
          <w:trHeight w:val="421"/>
          <w:jc w:val="center"/>
        </w:trPr>
        <w:tc>
          <w:tcPr>
            <w:tcW w:w="1791" w:type="dxa"/>
            <w:gridSpan w:val="2"/>
            <w:vAlign w:val="center"/>
          </w:tcPr>
          <w:p w:rsidR="00673689" w:rsidRDefault="00885B66">
            <w:pPr>
              <w:spacing w:line="360" w:lineRule="exact"/>
              <w:jc w:val="center"/>
              <w:rPr>
                <w:b/>
                <w:kern w:val="0"/>
                <w:sz w:val="24"/>
                <w:szCs w:val="24"/>
              </w:rPr>
            </w:pPr>
            <w:r>
              <w:rPr>
                <w:b/>
                <w:kern w:val="0"/>
                <w:sz w:val="24"/>
                <w:szCs w:val="24"/>
              </w:rPr>
              <w:t>项目名称</w:t>
            </w:r>
          </w:p>
        </w:tc>
        <w:tc>
          <w:tcPr>
            <w:tcW w:w="12680" w:type="dxa"/>
            <w:gridSpan w:val="3"/>
            <w:vAlign w:val="center"/>
          </w:tcPr>
          <w:p w:rsidR="00673689" w:rsidRDefault="00885B66">
            <w:pPr>
              <w:adjustRightInd w:val="0"/>
              <w:snapToGrid w:val="0"/>
              <w:spacing w:line="320" w:lineRule="exact"/>
              <w:jc w:val="center"/>
              <w:rPr>
                <w:snapToGrid w:val="0"/>
                <w:color w:val="000000"/>
                <w:sz w:val="21"/>
                <w:szCs w:val="21"/>
              </w:rPr>
            </w:pPr>
            <w:r>
              <w:rPr>
                <w:rFonts w:hint="eastAsia"/>
                <w:snapToGrid w:val="0"/>
                <w:color w:val="000000"/>
                <w:sz w:val="24"/>
                <w:szCs w:val="24"/>
              </w:rPr>
              <w:t>蚀变环境下大型工程锚固岩体劣化机理与长效调控技术</w:t>
            </w:r>
          </w:p>
        </w:tc>
      </w:tr>
      <w:tr w:rsidR="00673689">
        <w:trPr>
          <w:trHeight w:val="421"/>
          <w:jc w:val="center"/>
        </w:trPr>
        <w:tc>
          <w:tcPr>
            <w:tcW w:w="1791" w:type="dxa"/>
            <w:gridSpan w:val="2"/>
            <w:vAlign w:val="center"/>
          </w:tcPr>
          <w:p w:rsidR="00673689" w:rsidRDefault="00885B66">
            <w:pPr>
              <w:spacing w:line="360" w:lineRule="exact"/>
              <w:jc w:val="center"/>
              <w:rPr>
                <w:b/>
                <w:kern w:val="0"/>
                <w:sz w:val="24"/>
                <w:szCs w:val="24"/>
              </w:rPr>
            </w:pPr>
            <w:r>
              <w:rPr>
                <w:b/>
                <w:kern w:val="0"/>
                <w:sz w:val="24"/>
                <w:szCs w:val="24"/>
              </w:rPr>
              <w:t>提名单位</w:t>
            </w:r>
          </w:p>
        </w:tc>
        <w:tc>
          <w:tcPr>
            <w:tcW w:w="4907" w:type="dxa"/>
            <w:vAlign w:val="center"/>
          </w:tcPr>
          <w:p w:rsidR="00673689" w:rsidRDefault="00885B66">
            <w:pPr>
              <w:spacing w:line="360" w:lineRule="exact"/>
              <w:jc w:val="center"/>
              <w:rPr>
                <w:kern w:val="0"/>
                <w:sz w:val="24"/>
                <w:szCs w:val="24"/>
              </w:rPr>
            </w:pPr>
            <w:r>
              <w:rPr>
                <w:rFonts w:hint="eastAsia"/>
                <w:kern w:val="0"/>
                <w:sz w:val="24"/>
                <w:szCs w:val="24"/>
              </w:rPr>
              <w:t>广西壮族自治区教育厅</w:t>
            </w:r>
          </w:p>
        </w:tc>
        <w:tc>
          <w:tcPr>
            <w:tcW w:w="2181" w:type="dxa"/>
            <w:vAlign w:val="center"/>
          </w:tcPr>
          <w:p w:rsidR="00673689" w:rsidRDefault="00885B66">
            <w:pPr>
              <w:spacing w:line="400" w:lineRule="exact"/>
              <w:jc w:val="center"/>
              <w:rPr>
                <w:b/>
                <w:kern w:val="0"/>
                <w:sz w:val="24"/>
                <w:szCs w:val="24"/>
              </w:rPr>
            </w:pPr>
            <w:r>
              <w:rPr>
                <w:rFonts w:hint="eastAsia"/>
                <w:b/>
                <w:kern w:val="0"/>
                <w:sz w:val="24"/>
                <w:szCs w:val="24"/>
              </w:rPr>
              <w:t>奖种及</w:t>
            </w:r>
            <w:r>
              <w:rPr>
                <w:b/>
                <w:kern w:val="0"/>
                <w:sz w:val="24"/>
                <w:szCs w:val="24"/>
              </w:rPr>
              <w:t>提名等级</w:t>
            </w:r>
          </w:p>
        </w:tc>
        <w:tc>
          <w:tcPr>
            <w:tcW w:w="5592" w:type="dxa"/>
            <w:vAlign w:val="center"/>
          </w:tcPr>
          <w:p w:rsidR="00673689" w:rsidRDefault="00885B66">
            <w:pPr>
              <w:spacing w:line="360" w:lineRule="exact"/>
              <w:jc w:val="center"/>
              <w:rPr>
                <w:b/>
                <w:kern w:val="0"/>
                <w:sz w:val="24"/>
                <w:szCs w:val="24"/>
              </w:rPr>
            </w:pPr>
            <w:r>
              <w:rPr>
                <w:rFonts w:hint="eastAsia"/>
                <w:bCs/>
                <w:kern w:val="0"/>
                <w:sz w:val="24"/>
                <w:szCs w:val="24"/>
              </w:rPr>
              <w:t>科技进步奖</w:t>
            </w:r>
            <w:r>
              <w:rPr>
                <w:rFonts w:hint="eastAsia"/>
                <w:bCs/>
                <w:kern w:val="0"/>
                <w:sz w:val="24"/>
                <w:szCs w:val="24"/>
              </w:rPr>
              <w:t>:</w:t>
            </w:r>
            <w:r>
              <w:rPr>
                <w:rFonts w:hint="eastAsia"/>
              </w:rPr>
              <w:t xml:space="preserve"> </w:t>
            </w:r>
            <w:r>
              <w:rPr>
                <w:rFonts w:hint="eastAsia"/>
                <w:bCs/>
                <w:kern w:val="0"/>
                <w:sz w:val="24"/>
                <w:szCs w:val="24"/>
              </w:rPr>
              <w:t>一等奖</w:t>
            </w:r>
          </w:p>
        </w:tc>
      </w:tr>
      <w:tr w:rsidR="00673689">
        <w:trPr>
          <w:trHeight w:val="421"/>
          <w:jc w:val="center"/>
        </w:trPr>
        <w:tc>
          <w:tcPr>
            <w:tcW w:w="1791" w:type="dxa"/>
            <w:gridSpan w:val="2"/>
            <w:vAlign w:val="center"/>
          </w:tcPr>
          <w:p w:rsidR="00673689" w:rsidRDefault="00885B66">
            <w:pPr>
              <w:spacing w:line="360" w:lineRule="exact"/>
              <w:jc w:val="center"/>
              <w:rPr>
                <w:b/>
                <w:kern w:val="0"/>
                <w:sz w:val="24"/>
                <w:szCs w:val="24"/>
              </w:rPr>
            </w:pPr>
            <w:r>
              <w:rPr>
                <w:rFonts w:hint="eastAsia"/>
                <w:b/>
                <w:kern w:val="0"/>
                <w:sz w:val="24"/>
                <w:szCs w:val="24"/>
              </w:rPr>
              <w:t>候选个人</w:t>
            </w:r>
          </w:p>
        </w:tc>
        <w:tc>
          <w:tcPr>
            <w:tcW w:w="12680" w:type="dxa"/>
            <w:gridSpan w:val="3"/>
            <w:vAlign w:val="center"/>
          </w:tcPr>
          <w:p w:rsidR="00673689" w:rsidRDefault="00885B66">
            <w:pPr>
              <w:pStyle w:val="a4"/>
              <w:spacing w:line="240" w:lineRule="auto"/>
              <w:ind w:firstLineChars="0" w:firstLine="0"/>
              <w:rPr>
                <w:rFonts w:eastAsia="仿宋_GB2312" w:hint="default"/>
                <w:bCs/>
                <w:color w:val="000000"/>
                <w:kern w:val="0"/>
                <w:szCs w:val="24"/>
              </w:rPr>
            </w:pPr>
            <w:r>
              <w:rPr>
                <w:rFonts w:ascii="Times New Roman" w:eastAsia="仿宋_GB2312"/>
                <w:bCs/>
                <w:color w:val="000000"/>
                <w:kern w:val="0"/>
                <w:szCs w:val="24"/>
              </w:rPr>
              <w:t>王玉杰，郑志，黄小华，黄书岭，卢超波，王伟，张强，陶洪辉，沈园园，</w:t>
            </w:r>
            <w:r w:rsidRPr="002114FA">
              <w:rPr>
                <w:rFonts w:ascii="Times New Roman" w:eastAsia="仿宋_GB2312"/>
                <w:bCs/>
                <w:color w:val="000000"/>
                <w:kern w:val="0"/>
                <w:szCs w:val="24"/>
              </w:rPr>
              <w:t>梁贤哲</w:t>
            </w:r>
          </w:p>
        </w:tc>
      </w:tr>
      <w:tr w:rsidR="00673689">
        <w:trPr>
          <w:trHeight w:val="421"/>
          <w:jc w:val="center"/>
        </w:trPr>
        <w:tc>
          <w:tcPr>
            <w:tcW w:w="1791" w:type="dxa"/>
            <w:gridSpan w:val="2"/>
            <w:vAlign w:val="center"/>
          </w:tcPr>
          <w:p w:rsidR="00673689" w:rsidRDefault="00885B66">
            <w:pPr>
              <w:spacing w:line="360" w:lineRule="exact"/>
              <w:jc w:val="center"/>
              <w:rPr>
                <w:b/>
                <w:kern w:val="0"/>
                <w:sz w:val="24"/>
                <w:szCs w:val="24"/>
              </w:rPr>
            </w:pPr>
            <w:r>
              <w:rPr>
                <w:rFonts w:hint="eastAsia"/>
                <w:b/>
                <w:kern w:val="0"/>
                <w:sz w:val="24"/>
                <w:szCs w:val="24"/>
              </w:rPr>
              <w:t>候选组织</w:t>
            </w:r>
          </w:p>
        </w:tc>
        <w:tc>
          <w:tcPr>
            <w:tcW w:w="12680" w:type="dxa"/>
            <w:gridSpan w:val="3"/>
            <w:vAlign w:val="center"/>
          </w:tcPr>
          <w:p w:rsidR="00673689" w:rsidRDefault="00885B66">
            <w:pPr>
              <w:pStyle w:val="a4"/>
              <w:spacing w:line="240" w:lineRule="auto"/>
              <w:ind w:firstLineChars="0" w:firstLine="0"/>
              <w:rPr>
                <w:rFonts w:ascii="Times New Roman" w:eastAsia="仿宋_GB2312" w:hint="default"/>
                <w:bCs/>
                <w:color w:val="000000"/>
                <w:kern w:val="0"/>
                <w:szCs w:val="24"/>
              </w:rPr>
            </w:pPr>
            <w:r>
              <w:rPr>
                <w:rFonts w:ascii="Times New Roman" w:eastAsia="仿宋_GB2312"/>
                <w:bCs/>
                <w:color w:val="000000"/>
                <w:kern w:val="0"/>
                <w:szCs w:val="24"/>
              </w:rPr>
              <w:t>广西大学，中国水利水电科学研究院，广西交科集团有限公司，</w:t>
            </w:r>
            <w:r>
              <w:rPr>
                <w:rFonts w:ascii="Times New Roman" w:eastAsia="仿宋_GB2312"/>
                <w:bCs/>
                <w:color w:val="000000"/>
                <w:kern w:val="0"/>
                <w:szCs w:val="24"/>
              </w:rPr>
              <w:t>广西壮族自治区建筑工程质量检测中心有限公司</w:t>
            </w:r>
            <w:r>
              <w:rPr>
                <w:rFonts w:ascii="Times New Roman" w:eastAsia="仿宋_GB2312"/>
                <w:bCs/>
                <w:color w:val="000000"/>
                <w:kern w:val="0"/>
                <w:szCs w:val="24"/>
              </w:rPr>
              <w:t>，长江水利委员会长江科学院，中国能源建设集团广西电力设计研究院有限公司</w:t>
            </w:r>
          </w:p>
        </w:tc>
      </w:tr>
      <w:tr w:rsidR="00673689">
        <w:trPr>
          <w:trHeight w:val="3592"/>
          <w:jc w:val="center"/>
        </w:trPr>
        <w:tc>
          <w:tcPr>
            <w:tcW w:w="859" w:type="dxa"/>
            <w:vAlign w:val="center"/>
          </w:tcPr>
          <w:p w:rsidR="00673689" w:rsidRDefault="00885B66">
            <w:pPr>
              <w:spacing w:line="400" w:lineRule="exact"/>
              <w:jc w:val="center"/>
              <w:rPr>
                <w:b/>
                <w:kern w:val="0"/>
                <w:sz w:val="24"/>
                <w:szCs w:val="24"/>
              </w:rPr>
            </w:pPr>
            <w:r>
              <w:rPr>
                <w:rFonts w:hint="eastAsia"/>
                <w:b/>
                <w:kern w:val="0"/>
                <w:sz w:val="24"/>
                <w:szCs w:val="24"/>
              </w:rPr>
              <w:t>项目简介</w:t>
            </w:r>
          </w:p>
        </w:tc>
        <w:tc>
          <w:tcPr>
            <w:tcW w:w="13612" w:type="dxa"/>
            <w:gridSpan w:val="4"/>
            <w:vAlign w:val="center"/>
          </w:tcPr>
          <w:p w:rsidR="00673689" w:rsidRDefault="00885B66">
            <w:pPr>
              <w:adjustRightInd w:val="0"/>
              <w:snapToGrid w:val="0"/>
              <w:spacing w:line="390" w:lineRule="exact"/>
              <w:ind w:firstLineChars="200" w:firstLine="480"/>
              <w:rPr>
                <w:rFonts w:eastAsia="仿宋"/>
                <w:color w:val="000000"/>
                <w:sz w:val="24"/>
                <w:szCs w:val="24"/>
              </w:rPr>
            </w:pPr>
            <w:r>
              <w:rPr>
                <w:rFonts w:eastAsia="仿宋" w:hint="eastAsia"/>
                <w:color w:val="000000"/>
                <w:sz w:val="24"/>
                <w:szCs w:val="24"/>
              </w:rPr>
              <w:t>针对复杂条件下工程锚固岩体发生长期劣化导致严重的工程和地质灾害问题，</w:t>
            </w:r>
            <w:r>
              <w:rPr>
                <w:rFonts w:eastAsia="仿宋"/>
                <w:color w:val="000000"/>
                <w:sz w:val="24"/>
                <w:szCs w:val="24"/>
              </w:rPr>
              <w:t>在国家重点研发计划、国家自然科学基金和重大工程科研等项目支持下</w:t>
            </w:r>
            <w:r>
              <w:rPr>
                <w:rFonts w:eastAsia="仿宋" w:hint="eastAsia"/>
                <w:color w:val="000000"/>
                <w:sz w:val="24"/>
                <w:szCs w:val="24"/>
              </w:rPr>
              <w:t>开展研究</w:t>
            </w:r>
            <w:r>
              <w:rPr>
                <w:rFonts w:eastAsia="仿宋"/>
                <w:color w:val="000000"/>
                <w:sz w:val="24"/>
                <w:szCs w:val="24"/>
              </w:rPr>
              <w:t>，在</w:t>
            </w:r>
            <w:r>
              <w:rPr>
                <w:rFonts w:eastAsia="仿宋" w:hint="eastAsia"/>
                <w:color w:val="000000"/>
                <w:sz w:val="24"/>
                <w:szCs w:val="24"/>
              </w:rPr>
              <w:t>机制解译</w:t>
            </w:r>
            <w:r>
              <w:rPr>
                <w:rFonts w:eastAsia="仿宋" w:hint="eastAsia"/>
                <w:color w:val="000000"/>
                <w:sz w:val="24"/>
                <w:szCs w:val="24"/>
              </w:rPr>
              <w:t>、</w:t>
            </w:r>
            <w:r>
              <w:rPr>
                <w:rFonts w:eastAsia="仿宋"/>
                <w:color w:val="000000"/>
                <w:sz w:val="24"/>
                <w:szCs w:val="24"/>
              </w:rPr>
              <w:t>预测方法</w:t>
            </w:r>
            <w:r>
              <w:rPr>
                <w:rFonts w:eastAsia="仿宋" w:hint="eastAsia"/>
                <w:color w:val="000000"/>
                <w:sz w:val="24"/>
                <w:szCs w:val="24"/>
              </w:rPr>
              <w:t>、防控</w:t>
            </w:r>
            <w:r>
              <w:rPr>
                <w:rFonts w:eastAsia="仿宋"/>
                <w:color w:val="000000"/>
                <w:sz w:val="24"/>
                <w:szCs w:val="24"/>
              </w:rPr>
              <w:t>技术等三方面取得如下创新成果：</w:t>
            </w:r>
          </w:p>
          <w:p w:rsidR="00673689" w:rsidRDefault="00885B66">
            <w:pPr>
              <w:adjustRightInd w:val="0"/>
              <w:snapToGrid w:val="0"/>
              <w:spacing w:line="390" w:lineRule="exact"/>
              <w:rPr>
                <w:rFonts w:eastAsia="仿宋"/>
                <w:color w:val="000000"/>
                <w:sz w:val="24"/>
                <w:szCs w:val="24"/>
              </w:rPr>
            </w:pPr>
            <w:r>
              <w:rPr>
                <w:rFonts w:eastAsia="仿宋"/>
                <w:bCs/>
                <w:color w:val="000000"/>
                <w:sz w:val="24"/>
                <w:szCs w:val="24"/>
              </w:rPr>
              <w:t>1</w:t>
            </w:r>
            <w:r>
              <w:rPr>
                <w:rFonts w:eastAsia="仿宋"/>
                <w:bCs/>
                <w:color w:val="000000"/>
                <w:sz w:val="24"/>
                <w:szCs w:val="24"/>
              </w:rPr>
              <w:t>、</w:t>
            </w:r>
            <w:r>
              <w:rPr>
                <w:rFonts w:eastAsia="仿宋" w:hint="eastAsia"/>
                <w:color w:val="000000"/>
                <w:sz w:val="24"/>
                <w:szCs w:val="24"/>
              </w:rPr>
              <w:t>发明了真三维应力下岩体时效劣化试验系列装置，研发了复杂环境下岩体锚固系统长期衰变试验技术，揭示了复杂环境下锚固岩体长期劣化机制；</w:t>
            </w:r>
          </w:p>
          <w:p w:rsidR="00673689" w:rsidRDefault="00885B66">
            <w:pPr>
              <w:adjustRightInd w:val="0"/>
              <w:snapToGrid w:val="0"/>
              <w:spacing w:line="390" w:lineRule="exact"/>
              <w:rPr>
                <w:rFonts w:eastAsia="仿宋"/>
                <w:bCs/>
                <w:color w:val="000000"/>
                <w:sz w:val="24"/>
                <w:szCs w:val="24"/>
              </w:rPr>
            </w:pPr>
            <w:r>
              <w:rPr>
                <w:rFonts w:eastAsia="仿宋"/>
                <w:bCs/>
                <w:color w:val="000000"/>
                <w:sz w:val="24"/>
                <w:szCs w:val="24"/>
              </w:rPr>
              <w:t>2</w:t>
            </w:r>
            <w:r>
              <w:rPr>
                <w:rFonts w:eastAsia="仿宋"/>
                <w:bCs/>
                <w:color w:val="000000"/>
                <w:sz w:val="24"/>
                <w:szCs w:val="24"/>
              </w:rPr>
              <w:t>、</w:t>
            </w:r>
            <w:r>
              <w:rPr>
                <w:rFonts w:eastAsia="仿宋" w:hint="eastAsia"/>
                <w:bCs/>
                <w:color w:val="000000"/>
                <w:sz w:val="24"/>
                <w:szCs w:val="24"/>
              </w:rPr>
              <w:t>建立了锚固岩体时效劣化力学模型，创建了锚固岩体时效劣化全过程的连续</w:t>
            </w:r>
            <w:r>
              <w:rPr>
                <w:rFonts w:eastAsia="仿宋" w:hint="eastAsia"/>
                <w:bCs/>
                <w:color w:val="000000"/>
                <w:sz w:val="24"/>
                <w:szCs w:val="24"/>
              </w:rPr>
              <w:t>-</w:t>
            </w:r>
            <w:r>
              <w:rPr>
                <w:rFonts w:eastAsia="仿宋" w:hint="eastAsia"/>
                <w:bCs/>
                <w:color w:val="000000"/>
                <w:sz w:val="24"/>
                <w:szCs w:val="24"/>
              </w:rPr>
              <w:t>非连续数值模拟方法，提出了锚固岩体时效劣化程度定量化精准评价方法；</w:t>
            </w:r>
            <w:bookmarkStart w:id="0" w:name="_GoBack"/>
            <w:bookmarkEnd w:id="0"/>
          </w:p>
          <w:p w:rsidR="00673689" w:rsidRDefault="00885B66">
            <w:pPr>
              <w:adjustRightInd w:val="0"/>
              <w:snapToGrid w:val="0"/>
              <w:spacing w:line="390" w:lineRule="exact"/>
              <w:rPr>
                <w:rFonts w:eastAsia="宋体"/>
                <w:sz w:val="24"/>
              </w:rPr>
            </w:pPr>
            <w:r>
              <w:rPr>
                <w:rFonts w:eastAsia="仿宋"/>
                <w:color w:val="000000"/>
                <w:sz w:val="24"/>
                <w:szCs w:val="24"/>
              </w:rPr>
              <w:t>3</w:t>
            </w:r>
            <w:r>
              <w:rPr>
                <w:rFonts w:eastAsia="仿宋" w:hint="eastAsia"/>
                <w:color w:val="000000"/>
                <w:sz w:val="24"/>
                <w:szCs w:val="24"/>
              </w:rPr>
              <w:t>、研发了岩体时效劣化监测预警系统和技术</w:t>
            </w:r>
            <w:r>
              <w:rPr>
                <w:rFonts w:eastAsia="仿宋" w:hint="eastAsia"/>
                <w:color w:val="000000"/>
                <w:sz w:val="24"/>
                <w:szCs w:val="24"/>
              </w:rPr>
              <w:t>，发明了适应复杂环境长效新型岩体锚固系统，创建了锚固岩体时效劣化长效防控成套技术</w:t>
            </w:r>
            <w:r>
              <w:rPr>
                <w:rFonts w:eastAsia="仿宋"/>
                <w:color w:val="000000"/>
                <w:sz w:val="24"/>
                <w:szCs w:val="24"/>
              </w:rPr>
              <w:t>。</w:t>
            </w:r>
          </w:p>
        </w:tc>
      </w:tr>
    </w:tbl>
    <w:p w:rsidR="00673689" w:rsidRDefault="00673689">
      <w:pPr>
        <w:adjustRightInd w:val="0"/>
        <w:snapToGrid w:val="0"/>
        <w:spacing w:line="406" w:lineRule="exact"/>
        <w:jc w:val="center"/>
        <w:rPr>
          <w:rFonts w:eastAsia="方正黑体_GBK"/>
          <w:snapToGrid w:val="0"/>
          <w:color w:val="000000"/>
          <w:sz w:val="28"/>
          <w:szCs w:val="28"/>
        </w:rPr>
      </w:pPr>
      <w:bookmarkStart w:id="1" w:name="_Toc70090935"/>
      <w:bookmarkStart w:id="2" w:name="_Toc72832468"/>
      <w:bookmarkStart w:id="3" w:name="_Toc70090937"/>
      <w:bookmarkStart w:id="4" w:name="_Toc72834343"/>
      <w:bookmarkEnd w:id="1"/>
      <w:bookmarkEnd w:id="2"/>
      <w:bookmarkEnd w:id="3"/>
      <w:bookmarkEnd w:id="4"/>
    </w:p>
    <w:sectPr w:rsidR="00673689">
      <w:pgSz w:w="16838" w:h="11906" w:orient="landscape"/>
      <w:pgMar w:top="567" w:right="1440" w:bottom="426"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B66" w:rsidRDefault="00885B66">
      <w:pPr>
        <w:spacing w:line="240" w:lineRule="auto"/>
      </w:pPr>
      <w:r>
        <w:separator/>
      </w:r>
    </w:p>
  </w:endnote>
  <w:endnote w:type="continuationSeparator" w:id="0">
    <w:p w:rsidR="00885B66" w:rsidRDefault="00885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B66" w:rsidRDefault="00885B66">
      <w:pPr>
        <w:spacing w:line="240" w:lineRule="auto"/>
      </w:pPr>
      <w:r>
        <w:separator/>
      </w:r>
    </w:p>
  </w:footnote>
  <w:footnote w:type="continuationSeparator" w:id="0">
    <w:p w:rsidR="00885B66" w:rsidRDefault="00885B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64778"/>
    <w:multiLevelType w:val="multilevel"/>
    <w:tmpl w:val="3D06477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ZTcyYmM0OTljNTE5NzdiMzJlZGNjYmEyYWNkZWIifQ=="/>
  </w:docVars>
  <w:rsids>
    <w:rsidRoot w:val="00172A27"/>
    <w:rsid w:val="00010022"/>
    <w:rsid w:val="0001213B"/>
    <w:rsid w:val="00022A36"/>
    <w:rsid w:val="00076197"/>
    <w:rsid w:val="000B1EB8"/>
    <w:rsid w:val="000D7AA7"/>
    <w:rsid w:val="000F17C6"/>
    <w:rsid w:val="000F2BDD"/>
    <w:rsid w:val="00101DBC"/>
    <w:rsid w:val="00103505"/>
    <w:rsid w:val="001109B0"/>
    <w:rsid w:val="00124F9A"/>
    <w:rsid w:val="0017193A"/>
    <w:rsid w:val="00172A27"/>
    <w:rsid w:val="001920E4"/>
    <w:rsid w:val="001B5E85"/>
    <w:rsid w:val="001C340D"/>
    <w:rsid w:val="002114FA"/>
    <w:rsid w:val="00237CD1"/>
    <w:rsid w:val="00250D89"/>
    <w:rsid w:val="002645F4"/>
    <w:rsid w:val="002705A4"/>
    <w:rsid w:val="00275C62"/>
    <w:rsid w:val="002812F9"/>
    <w:rsid w:val="00283677"/>
    <w:rsid w:val="002B6196"/>
    <w:rsid w:val="002B6A01"/>
    <w:rsid w:val="002E3EA8"/>
    <w:rsid w:val="002F06A4"/>
    <w:rsid w:val="00361BCE"/>
    <w:rsid w:val="00364B84"/>
    <w:rsid w:val="003A097F"/>
    <w:rsid w:val="003C3395"/>
    <w:rsid w:val="00403BB8"/>
    <w:rsid w:val="00407335"/>
    <w:rsid w:val="00416690"/>
    <w:rsid w:val="004179D6"/>
    <w:rsid w:val="00424C5D"/>
    <w:rsid w:val="00427DAE"/>
    <w:rsid w:val="004461C9"/>
    <w:rsid w:val="004508A1"/>
    <w:rsid w:val="00464A52"/>
    <w:rsid w:val="004B0AB0"/>
    <w:rsid w:val="004B73D6"/>
    <w:rsid w:val="004D12C0"/>
    <w:rsid w:val="005016CF"/>
    <w:rsid w:val="00502C6E"/>
    <w:rsid w:val="00533698"/>
    <w:rsid w:val="0053766C"/>
    <w:rsid w:val="0059081E"/>
    <w:rsid w:val="005C3807"/>
    <w:rsid w:val="005C6C22"/>
    <w:rsid w:val="00601EB4"/>
    <w:rsid w:val="00663A9B"/>
    <w:rsid w:val="006659F7"/>
    <w:rsid w:val="00673689"/>
    <w:rsid w:val="0069428B"/>
    <w:rsid w:val="006979A2"/>
    <w:rsid w:val="006C4900"/>
    <w:rsid w:val="006C5770"/>
    <w:rsid w:val="006D5D66"/>
    <w:rsid w:val="006E74C8"/>
    <w:rsid w:val="00740347"/>
    <w:rsid w:val="007601F9"/>
    <w:rsid w:val="007727F5"/>
    <w:rsid w:val="00785D5C"/>
    <w:rsid w:val="00786544"/>
    <w:rsid w:val="00786A9D"/>
    <w:rsid w:val="00792DBE"/>
    <w:rsid w:val="007E2538"/>
    <w:rsid w:val="008000C8"/>
    <w:rsid w:val="00803EDB"/>
    <w:rsid w:val="00820CB4"/>
    <w:rsid w:val="00840A6B"/>
    <w:rsid w:val="00885B66"/>
    <w:rsid w:val="00890145"/>
    <w:rsid w:val="008950A4"/>
    <w:rsid w:val="008B23B6"/>
    <w:rsid w:val="008B273A"/>
    <w:rsid w:val="008C1360"/>
    <w:rsid w:val="0093530F"/>
    <w:rsid w:val="00981ABC"/>
    <w:rsid w:val="00A02F8D"/>
    <w:rsid w:val="00A05E00"/>
    <w:rsid w:val="00A37CB3"/>
    <w:rsid w:val="00A46C1B"/>
    <w:rsid w:val="00A75335"/>
    <w:rsid w:val="00A87E5A"/>
    <w:rsid w:val="00A955C8"/>
    <w:rsid w:val="00AD31F3"/>
    <w:rsid w:val="00AD4881"/>
    <w:rsid w:val="00AE053A"/>
    <w:rsid w:val="00B12363"/>
    <w:rsid w:val="00B36A45"/>
    <w:rsid w:val="00B40BC7"/>
    <w:rsid w:val="00B52F2A"/>
    <w:rsid w:val="00B61474"/>
    <w:rsid w:val="00B62464"/>
    <w:rsid w:val="00B8515A"/>
    <w:rsid w:val="00BA0C4B"/>
    <w:rsid w:val="00BC1E44"/>
    <w:rsid w:val="00BC4B31"/>
    <w:rsid w:val="00BF193C"/>
    <w:rsid w:val="00C1309E"/>
    <w:rsid w:val="00C1484A"/>
    <w:rsid w:val="00C35B98"/>
    <w:rsid w:val="00C36EBA"/>
    <w:rsid w:val="00C429A4"/>
    <w:rsid w:val="00C44B2C"/>
    <w:rsid w:val="00C52412"/>
    <w:rsid w:val="00C71AF7"/>
    <w:rsid w:val="00C80EEA"/>
    <w:rsid w:val="00CB588F"/>
    <w:rsid w:val="00CC60C1"/>
    <w:rsid w:val="00CF019F"/>
    <w:rsid w:val="00D3784F"/>
    <w:rsid w:val="00D44913"/>
    <w:rsid w:val="00D66E56"/>
    <w:rsid w:val="00D673C1"/>
    <w:rsid w:val="00D83983"/>
    <w:rsid w:val="00D97291"/>
    <w:rsid w:val="00DB5277"/>
    <w:rsid w:val="00DC3554"/>
    <w:rsid w:val="00DD06DA"/>
    <w:rsid w:val="00DD334D"/>
    <w:rsid w:val="00E045F7"/>
    <w:rsid w:val="00E26D1B"/>
    <w:rsid w:val="00E36245"/>
    <w:rsid w:val="00E756B2"/>
    <w:rsid w:val="00E934B8"/>
    <w:rsid w:val="00EA021B"/>
    <w:rsid w:val="00EA5B53"/>
    <w:rsid w:val="00EC5BF9"/>
    <w:rsid w:val="00EE6B3E"/>
    <w:rsid w:val="00F40FAC"/>
    <w:rsid w:val="00F6074B"/>
    <w:rsid w:val="00F63DB7"/>
    <w:rsid w:val="00F66692"/>
    <w:rsid w:val="00F8402B"/>
    <w:rsid w:val="00F92711"/>
    <w:rsid w:val="00FA7231"/>
    <w:rsid w:val="00FE2EDD"/>
    <w:rsid w:val="014A396F"/>
    <w:rsid w:val="01A54E7C"/>
    <w:rsid w:val="04EF4D0C"/>
    <w:rsid w:val="07D94EB6"/>
    <w:rsid w:val="10261530"/>
    <w:rsid w:val="14595B70"/>
    <w:rsid w:val="215025B4"/>
    <w:rsid w:val="21B52099"/>
    <w:rsid w:val="22A068A5"/>
    <w:rsid w:val="320D7387"/>
    <w:rsid w:val="37422732"/>
    <w:rsid w:val="38450BEA"/>
    <w:rsid w:val="3CE77152"/>
    <w:rsid w:val="40C03EA9"/>
    <w:rsid w:val="441B1EAF"/>
    <w:rsid w:val="45D87F80"/>
    <w:rsid w:val="46062034"/>
    <w:rsid w:val="4A2D3F4C"/>
    <w:rsid w:val="4CEF5D68"/>
    <w:rsid w:val="4E2F73B3"/>
    <w:rsid w:val="501D2775"/>
    <w:rsid w:val="504D7F52"/>
    <w:rsid w:val="52950C1B"/>
    <w:rsid w:val="53AE6F42"/>
    <w:rsid w:val="57E26439"/>
    <w:rsid w:val="586C35D8"/>
    <w:rsid w:val="5DEF01E8"/>
    <w:rsid w:val="5F405755"/>
    <w:rsid w:val="65374306"/>
    <w:rsid w:val="656120EA"/>
    <w:rsid w:val="66A041CD"/>
    <w:rsid w:val="6C9D6941"/>
    <w:rsid w:val="6CB96F42"/>
    <w:rsid w:val="727A6DAB"/>
    <w:rsid w:val="755C67C3"/>
    <w:rsid w:val="75CC1256"/>
    <w:rsid w:val="75E72C56"/>
    <w:rsid w:val="76CA6BC2"/>
    <w:rsid w:val="779260BA"/>
    <w:rsid w:val="77C6382D"/>
    <w:rsid w:val="77C678A9"/>
    <w:rsid w:val="7A6A79E8"/>
    <w:rsid w:val="7AAC4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BB2FC-30AD-49F7-8104-1CEBC1C6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style>
  <w:style w:type="paragraph" w:styleId="a4">
    <w:name w:val="Plain Text"/>
    <w:basedOn w:val="a"/>
    <w:link w:val="Char"/>
    <w:unhideWhenUsed/>
    <w:qFormat/>
    <w:pPr>
      <w:widowControl w:val="0"/>
      <w:spacing w:line="360" w:lineRule="auto"/>
      <w:ind w:firstLineChars="200" w:firstLine="480"/>
      <w:jc w:val="both"/>
    </w:pPr>
    <w:rPr>
      <w:rFonts w:ascii="仿宋_GB2312" w:eastAsia="宋体" w:hint="eastAsia"/>
      <w:sz w:val="24"/>
      <w:szCs w:val="20"/>
    </w:rPr>
  </w:style>
  <w:style w:type="paragraph" w:styleId="a5">
    <w:name w:val="Balloon Text"/>
    <w:basedOn w:val="a"/>
    <w:link w:val="Char0"/>
    <w:semiHidden/>
    <w:unhideWhenUsed/>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autoRedefine/>
    <w:uiPriority w:val="99"/>
    <w:unhideWhenUsed/>
    <w:qFormat/>
    <w:rPr>
      <w:sz w:val="24"/>
    </w:rPr>
  </w:style>
  <w:style w:type="table" w:styleId="a9">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autoRedefine/>
    <w:semiHidden/>
    <w:unhideWhenUsed/>
    <w:qFormat/>
    <w:rPr>
      <w:sz w:val="21"/>
      <w:szCs w:val="21"/>
    </w:rPr>
  </w:style>
  <w:style w:type="paragraph" w:customStyle="1" w:styleId="Default">
    <w:name w:val="Default"/>
    <w:autoRedefine/>
    <w:uiPriority w:val="99"/>
    <w:unhideWhenUsed/>
    <w:qFormat/>
    <w:pPr>
      <w:widowControl w:val="0"/>
      <w:autoSpaceDE w:val="0"/>
      <w:autoSpaceDN w:val="0"/>
      <w:adjustRightInd w:val="0"/>
    </w:pPr>
    <w:rPr>
      <w:rFonts w:ascii="宋体" w:hAnsi="宋体"/>
      <w:color w:val="000000"/>
      <w:sz w:val="24"/>
    </w:rPr>
  </w:style>
  <w:style w:type="character" w:customStyle="1" w:styleId="Char">
    <w:name w:val="纯文本 Char"/>
    <w:link w:val="a4"/>
    <w:qFormat/>
    <w:rPr>
      <w:rFonts w:ascii="仿宋_GB2312" w:eastAsia="宋体" w:hAnsi="Times New Roman" w:cs="Times New Roman"/>
      <w:sz w:val="24"/>
      <w:szCs w:val="20"/>
    </w:rPr>
  </w:style>
  <w:style w:type="character" w:customStyle="1" w:styleId="Char2">
    <w:name w:val="页眉 Char"/>
    <w:link w:val="a7"/>
    <w:autoRedefine/>
    <w:uiPriority w:val="99"/>
    <w:qFormat/>
    <w:rPr>
      <w:rFonts w:ascii="Times New Roman" w:eastAsia="仿宋_GB2312" w:hAnsi="Times New Roman" w:cs="Times New Roman"/>
      <w:sz w:val="18"/>
      <w:szCs w:val="18"/>
    </w:rPr>
  </w:style>
  <w:style w:type="character" w:customStyle="1" w:styleId="Char1">
    <w:name w:val="页脚 Char"/>
    <w:link w:val="a6"/>
    <w:autoRedefine/>
    <w:uiPriority w:val="99"/>
    <w:qFormat/>
    <w:rPr>
      <w:rFonts w:ascii="Times New Roman" w:eastAsia="仿宋_GB2312" w:hAnsi="Times New Roman" w:cs="Times New Roman"/>
      <w:sz w:val="18"/>
      <w:szCs w:val="18"/>
    </w:rPr>
  </w:style>
  <w:style w:type="character" w:customStyle="1" w:styleId="17">
    <w:name w:val="17"/>
    <w:basedOn w:val="a0"/>
    <w:qFormat/>
    <w:rPr>
      <w:rFonts w:ascii="仿宋_GB2312" w:eastAsia="仿宋_GB2312" w:hint="eastAsia"/>
      <w:b/>
      <w:bCs/>
      <w:kern w:val="44"/>
      <w:sz w:val="44"/>
      <w:szCs w:val="44"/>
    </w:rPr>
  </w:style>
  <w:style w:type="paragraph" w:styleId="ab">
    <w:name w:val="List Paragraph"/>
    <w:basedOn w:val="a"/>
    <w:uiPriority w:val="99"/>
    <w:unhideWhenUsed/>
    <w:qFormat/>
    <w:pPr>
      <w:ind w:firstLineChars="200" w:firstLine="420"/>
    </w:pPr>
  </w:style>
  <w:style w:type="character" w:customStyle="1" w:styleId="Char0">
    <w:name w:val="批注框文本 Char"/>
    <w:basedOn w:val="a0"/>
    <w:link w:val="a5"/>
    <w:semiHidden/>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Microsoft</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2021年度广西技术发明奖（科技进步奖）提名公示信息</dc:title>
  <dc:creator>whx</dc:creator>
  <cp:lastModifiedBy>顾艳玲</cp:lastModifiedBy>
  <cp:revision>4</cp:revision>
  <dcterms:created xsi:type="dcterms:W3CDTF">2024-06-07T08:07:00Z</dcterms:created>
  <dcterms:modified xsi:type="dcterms:W3CDTF">2024-06-07T08:08:00Z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FFDB1EA2A2014C77AB928C2A1BDA8635_13</vt:lpwstr>
  </property>
</Properties>
</file>